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346" w:type="dxa"/>
        <w:jc w:val="left"/>
        <w:tblInd w:w="0" w:type="dxa"/>
        <w:tblLayout w:type="fixed"/>
        <w:tblCellMar>
          <w:top w:w="28" w:type="dxa"/>
          <w:left w:w="28" w:type="dxa"/>
          <w:bottom w:w="28" w:type="dxa"/>
          <w:right w:w="28" w:type="dxa"/>
        </w:tblCellMar>
      </w:tblPr>
      <w:tblGrid>
        <w:gridCol w:w="6346"/>
      </w:tblGrid>
      <w:tr>
        <w:trPr/>
        <w:tc>
          <w:tcPr>
            <w:tcW w:w="634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34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346" w:type="dxa"/>
            <w:tcBorders/>
            <w:vAlign w:val="center"/>
          </w:tcPr>
          <w:p>
            <w:pPr>
              <w:pStyle w:val="TableContents"/>
              <w:bidi w:val="0"/>
              <w:spacing w:before="0" w:after="0"/>
              <w:jc w:val="left"/>
              <w:rPr/>
            </w:pPr>
            <w:r>
              <w:rPr/>
              <w:t xml:space="preserve">UNDER THE SECURITIES EXCHANGE ACT OF 1934 </w:t>
            </w:r>
          </w:p>
        </w:tc>
      </w:tr>
      <w:tr>
        <w:trPr/>
        <w:tc>
          <w:tcPr>
            <w:tcW w:w="6346"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before="0" w:after="0"/>
              <w:jc w:val="center"/>
              <w:rPr>
                <w:b/>
                <w:color w:val="0000FF"/>
              </w:rPr>
            </w:pPr>
            <w:r>
              <w:rPr>
                <w:b/>
                <w:color w:val="0000FF"/>
              </w:rPr>
              <w:t>Veradermics, Incorporated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346" w:type="dxa"/>
            <w:tcBorders/>
            <w:vAlign w:val="center"/>
          </w:tcPr>
          <w:p>
            <w:pPr>
              <w:pStyle w:val="TableContents"/>
              <w:bidi w:val="0"/>
              <w:spacing w:before="0" w:after="0"/>
              <w:jc w:val="center"/>
              <w:rPr>
                <w:b/>
                <w:color w:val="0000FF"/>
              </w:rPr>
            </w:pPr>
            <w:r>
              <w:rPr>
                <w:b/>
                <w:color w:val="0000FF"/>
              </w:rPr>
              <w:t>Common Stock, par value $0.00001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34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346" w:type="dxa"/>
            <w:tcBorders/>
            <w:vAlign w:val="center"/>
          </w:tcPr>
          <w:p>
            <w:pPr>
              <w:pStyle w:val="TableContents"/>
              <w:bidi w:val="0"/>
              <w:spacing w:before="0" w:after="0"/>
              <w:jc w:val="center"/>
              <w:rPr>
                <w:b/>
                <w:color w:val="0000FF"/>
              </w:rPr>
            </w:pPr>
            <w:r>
              <w:rPr>
                <w:b/>
                <w:color w:val="0000FF"/>
              </w:rPr>
              <w:t>04/30/2026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1,870,775.00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1,870,775.00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1,870,775.00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41,183,254 Shares outstanding as of May 1, 2026 (according to the issuer's prospectus as filed with the Securities and Exchange Commission on April 30, 2026). Except as described in the preceding sentence, all Shares for the holdings of the reporting persons reported in this Schedule 13G are as of the opening of the market on May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1,870,775.00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1,870,775.00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1,870,775.00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1,870,775.00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1,870,775.00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1,870,775.00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1,870,792.00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1,870,792.00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1,870,792.00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Veradermics, Incorporated</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 James Street, New Haven, CT 06513</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 Citadel Advisors is the portfolio manager for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Each of Citadel Advisors LLC, Citadel Advisors Holdings LP and Citadel GP LLC may be deemed to beneficially own 1,870,775 Shares. 2. Citadel Securities LLC may be deemed to beneficially own 17 Shares. 3. Each of Citadel Securities Group LP and Citadel Securities GP LLC may be deemed to beneficially own 17 Shares. 4. Mr. Griffin may be deemed to beneficially own 1,870,792 Shares.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each of Citadel Advisors LLC, Citadel Advisors Holdings LP and Citadel GP LLC may be deemed to beneficially own constitutes 4.5% of the Shares outstanding. 2. The number of Shares that Citadel Securities LLC may be deemed to beneficially own constitutes 0.0% of the Shares outstanding. 3. The number of Shares that each of Citadel Securities Group LP and Citadel Securities GP LLC may be deemed to beneficially own constitutes 0.0% of the Shares outstanding. 4. The number of Shares that Mr. Griffin may be deemed to beneficially own constitutes 4.5%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Each of Citadel Advisors LLC, Citadel Advisors Holdings LP and Citadel GP LLC: 1,870,775 2. Citadel Securities LLC: 17 3. Each of Citadel Securities Group LP and Citadel Securities GP LLC: 17 4. Mr. Griffin: 1,870,792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Each of Citadel Advisors LLC, Citadel Advisors Holdings LP and Citadel GP LLC: 1,870,775 2. Citadel Securities LLC: 17 3. Each of Citadel Securities Group LP and Citadel Securities GP LLC: 17 4. Mr. Griffin: 1,870,792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ind w:left="0" w:right="0" w:hanging="0"/>
        <w:jc w:val="right"/>
        <w:rPr>
          <w:caps w:val="false"/>
          <w:smallCaps w:val="false"/>
        </w:rPr>
      </w:pPr>
      <w:bookmarkStart w:id="40" w:name="tm2613927d1_ex99-1.htm"/>
      <w:bookmarkStart w:id="41" w:name="kstm2613927d1_ex991"/>
      <w:bookmarkEnd w:id="40"/>
      <w:bookmarkEnd w:id="4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and each of such counterparts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7, 2026.</w:t>
      </w:r>
    </w:p>
    <w:p>
      <w:pPr>
        <w:pStyle w:val="TextBody"/>
        <w:bidi w:val="0"/>
        <w:spacing w:before="0" w:after="0"/>
        <w:ind w:left="0" w:right="0" w:hanging="0"/>
        <w:jc w:val="left"/>
        <w:rPr>
          <w:caps w:val="false"/>
          <w:smallCaps w:val="false"/>
        </w:rPr>
      </w:pPr>
      <w:r>
        <w:rPr>
          <w:caps w:val="false"/>
          <w:smallCaps w:val="false"/>
        </w:rPr>
        <w:t> </w:t>
      </w:r>
    </w:p>
    <w:tbl>
      <w:tblPr>
        <w:tblW w:w="6608" w:type="dxa"/>
        <w:jc w:val="left"/>
        <w:tblInd w:w="0" w:type="dxa"/>
        <w:tblLayout w:type="fixed"/>
        <w:tblCellMar>
          <w:top w:w="0" w:type="dxa"/>
          <w:left w:w="0" w:type="dxa"/>
          <w:bottom w:w="0" w:type="dxa"/>
          <w:right w:w="0" w:type="dxa"/>
        </w:tblCellMar>
      </w:tblPr>
      <w:tblGrid>
        <w:gridCol w:w="364"/>
        <w:gridCol w:w="2820"/>
        <w:gridCol w:w="75"/>
        <w:gridCol w:w="365"/>
        <w:gridCol w:w="2984"/>
      </w:tblGrid>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LLC</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ADVISORS LLC</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GROUP LP</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ADVISORS HOLDINGS LP</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GP LLC</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GP LLC</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KENNETH GRIFFIN</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attorney-in-fact</w:t>
            </w:r>
            <w:r>
              <w:rPr>
                <w:rFonts w:ascii="Times New Roman;Times;Serif" w:hAnsi="Times New Roman;Times;Serif"/>
                <w:position w:val="7"/>
                <w:sz w:val="16"/>
                <w:sz w:val="20"/>
                <w:u w:val="single"/>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u w:val="single"/>
              </w:rPr>
              <w:t>*</w:t>
            </w:r>
            <w:r>
              <w:rPr>
                <w:rFonts w:ascii="Times New Roman;Times;Serif" w:hAnsi="Times New Roman;Times;Serif"/>
                <w:sz w:val="20"/>
              </w:rPr>
              <w:t> </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2409</Words>
  <Characters>12398</Characters>
  <CharactersWithSpaces>14718</CharactersWithSpaces>
  <Paragraphs>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