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MONTANOVA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E 26TH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Veradermics, Inc</w:t>
              </w:r>
            </w:hyperlink>
            <w:r>
              <w:rPr/>
              <w:t xml:space="preserve"> [ </w:t>
            </w:r>
            <w:r>
              <w:rPr>
                <w:rFonts w:ascii="Times;serif" w:hAnsi="Times;serif"/>
                <w:color w:val="0000FF"/>
                <w:sz w:val="24"/>
                <w:shd w:fill="FFFFFF" w:val="clear"/>
              </w:rPr>
              <w:t>MANE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5"/>
        <w:gridCol w:w="900"/>
        <w:gridCol w:w="772"/>
        <w:gridCol w:w="597"/>
        <w:gridCol w:w="335"/>
        <w:gridCol w:w="1038"/>
        <w:gridCol w:w="419"/>
        <w:gridCol w:w="829"/>
        <w:gridCol w:w="1233"/>
        <w:gridCol w:w="953"/>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690,601</w:t>
            </w:r>
            <w:r>
              <w:rPr>
                <w:rFonts w:ascii="Times;serif" w:hAnsi="Times;serif"/>
                <w:color w:val="008000"/>
                <w:position w:val="7"/>
                <w:sz w:val="16"/>
                <w:sz w:val="20"/>
                <w:shd w:fill="FFFFFF" w:val="clear"/>
              </w:rPr>
              <w:t>(2)</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107.25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2,957,937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59,399</w:t>
            </w:r>
            <w:r>
              <w:rPr>
                <w:rFonts w:ascii="Times;serif" w:hAnsi="Times;serif"/>
                <w:color w:val="008000"/>
                <w:position w:val="7"/>
                <w:sz w:val="16"/>
                <w:sz w:val="20"/>
                <w:shd w:fill="FFFFFF" w:val="clear"/>
              </w:rPr>
              <w:t>(3)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107.25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461,033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w:t>
            </w:r>
          </w:p>
        </w:tc>
      </w:tr>
      <w:tr>
        <w:trPr/>
        <w:tc>
          <w:tcPr>
            <w:tcW w:w="20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149,000</w:t>
            </w:r>
            <w:r>
              <w:rPr>
                <w:rFonts w:ascii="Times;serif" w:hAnsi="Times;serif"/>
                <w:color w:val="008000"/>
                <w:position w:val="7"/>
                <w:sz w:val="16"/>
                <w:sz w:val="20"/>
                <w:shd w:fill="FFFFFF" w:val="clear"/>
              </w:rPr>
              <w:t>(4)</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3,106,937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(1)(4)</w:t>
            </w:r>
          </w:p>
        </w:tc>
      </w:tr>
      <w:tr>
        <w:trPr/>
        <w:tc>
          <w:tcPr>
            <w:tcW w:w="20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151,000</w:t>
            </w:r>
            <w:r>
              <w:rPr>
                <w:rFonts w:ascii="Times;serif" w:hAnsi="Times;serif"/>
                <w:color w:val="008000"/>
                <w:position w:val="7"/>
                <w:sz w:val="16"/>
                <w:sz w:val="20"/>
                <w:shd w:fill="FFFFFF" w:val="clear"/>
              </w:rPr>
              <w:t>(5)</w:t>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612,033</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(1)(5)</w:t>
            </w:r>
          </w:p>
        </w:tc>
      </w:tr>
    </w:tbl>
    <w:tbl>
      <w:tblPr>
        <w:tblW w:w="1277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276"/>
        <w:gridCol w:w="876"/>
        <w:gridCol w:w="906"/>
        <w:gridCol w:w="801"/>
        <w:gridCol w:w="891"/>
        <w:gridCol w:w="981"/>
        <w:gridCol w:w="801"/>
        <w:gridCol w:w="936"/>
        <w:gridCol w:w="831"/>
        <w:gridCol w:w="981"/>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149,000</w:t>
            </w:r>
            <w:r>
              <w:rPr>
                <w:rFonts w:ascii="Times;serif" w:hAnsi="Times;serif"/>
                <w:color w:val="008000"/>
                <w:position w:val="7"/>
                <w:sz w:val="16"/>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149,000</w:t>
            </w: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(1)(4)</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151,000</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151,000</w:t>
            </w: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MONTANOVA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E 26TH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Cowen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MONTANOVA CAPITAL,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E 26TH,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Averill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MONTANOVA CAPITAL,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E 26TH,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Averill Madison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MONTANOVA CAPITAL,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E 26TH,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Notes are included on Exhibit 99.1.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Notes are included on Exhibit 99.1.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99.1 - Explanation of Responses Exhibit 99.2 - Joint Filer Information Exhibit 99.3 - Joint Filers' Signature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Montanova Capital, LLC; By: /s/ Andrew Nathanson, General Counsel &amp;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right"/>
        <w:rPr/>
      </w:pPr>
      <w:bookmarkStart w:id="2" w:name="ex99_1.htm"/>
      <w:bookmarkStart w:id="3" w:name="ksex99_1"/>
      <w:bookmarkEnd w:id="2"/>
      <w:bookmarkEnd w:id="3"/>
      <w:r>
        <w:rPr>
          <w:b/>
          <w:color w:val="000000"/>
          <w:sz w:val="20"/>
        </w:rPr>
        <w:t>Exhibit 99.1</w:t>
      </w:r>
      <w:r>
        <w:rPr/>
        <w:t xml:space="preserve"> </w:t>
      </w:r>
      <w:r>
        <w:br w:type="page"/>
      </w:r>
    </w:p>
    <w:p>
      <w:pPr>
        <w:pStyle w:val="TextBody"/>
        <w:bidi w:val="0"/>
        <w:spacing w:before="0" w:after="0"/>
        <w:jc w:val="left"/>
        <w:rPr/>
      </w:pPr>
      <w:r>
        <w:rPr/>
        <w:t xml:space="preserve">  </w:t>
      </w:r>
    </w:p>
    <w:p>
      <w:pPr>
        <w:pStyle w:val="TextBody"/>
        <w:bidi w:val="0"/>
        <w:spacing w:before="0" w:after="0"/>
        <w:jc w:val="both"/>
        <w:rPr/>
      </w:pPr>
      <w:r>
        <w:rPr>
          <w:color w:val="000000"/>
          <w:sz w:val="20"/>
          <w:u w:val="single"/>
        </w:rPr>
        <w:t>Explanation of Responses</w:t>
      </w:r>
      <w:r>
        <w:rPr>
          <w:color w:val="000000"/>
          <w:sz w:val="20"/>
        </w:rPr>
        <w:t>:</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0"/>
              <w:jc w:val="left"/>
              <w:rPr/>
            </w:pPr>
            <w:r>
              <w:rPr>
                <w:rFonts w:ascii="TimesNewRoman;Bold" w:hAnsi="TimesNewRoman;Bold"/>
                <w:color w:val="000000"/>
                <w:sz w:val="20"/>
              </w:rPr>
              <w:t>(1)</w:t>
            </w:r>
            <w:r>
              <w:rPr/>
              <w:t xml:space="preserve"> </w:t>
            </w:r>
          </w:p>
        </w:tc>
        <w:tc>
          <w:tcPr>
            <w:tcW w:w="9911" w:type="dxa"/>
            <w:tcBorders/>
            <w:vAlign w:val="center"/>
          </w:tcPr>
          <w:p>
            <w:pPr>
              <w:pStyle w:val="TableContents"/>
              <w:bidi w:val="0"/>
              <w:spacing w:before="0" w:after="283"/>
              <w:jc w:val="left"/>
              <w:rPr>
                <w:rFonts w:ascii="TimesNewRoman;Bold" w:hAnsi="TimesNewRoman;Bold"/>
                <w:color w:val="000000"/>
                <w:sz w:val="20"/>
              </w:rPr>
            </w:pPr>
            <w:r>
              <w:rPr>
                <w:rFonts w:ascii="TimesNewRoman;Bold" w:hAnsi="TimesNewRoman;Bold"/>
                <w:color w:val="000000"/>
                <w:sz w:val="20"/>
              </w:rPr>
              <w:t>This Form 4 is filed on behalf of Averill Master Fund, Ltd., a Cayman Islands exempted company (“Averill Master Fund”), Averill Madison Master Fund, Ltd., a Cayman Islands exempted company (“Averill Madison Master Fund” and, together with the Averill Master Fund, the “Funds”), Montanova Capital, LLC, a Delaware limited liability company (“Montanova Capital”), and Aaron Cowen (“Mr. Cowen”) (collectively, the “Reporting Persons”). Montanova Capital is the investment manager of the Funds. Mr. Cowen may be deemed to control Montanova Capital and therefore may be deemed to beneficially own shares of Common Stock (as defined below) held by the Funds. Mr. Cowen disclaims beneficial ownership of the shares of Common Stock reported herein except to the extent of any indirect pecuniary interest therein. The securities reported herein are directly held by either Averill Master Fund or Averill Madison Master Fund as noted herein. Each of the Funds and Montanova Capital may be deemed a director by deputization by virtue of David Friedman, M.D., a Managing Director and Senior Analyst at Montanova Capital, serving on the board of directors of the Issuer (as defined below). For purposes of the exemption under Rule 16b-3 promulgated under the Exchange Act, the board of directors of the Issuer approved the acquisition of any direct or indirect pecuniary interest in any and all shares by the Reporting Persons as a result of or in connection with the transactions reported in this Form 4.</w:t>
            </w:r>
          </w:p>
        </w:tc>
      </w:tr>
      <w:tr>
        <w:trPr/>
        <w:tc>
          <w:tcPr>
            <w:tcW w:w="294" w:type="dxa"/>
            <w:tcBorders/>
            <w:vAlign w:val="center"/>
          </w:tcPr>
          <w:p>
            <w:pPr>
              <w:pStyle w:val="TableContents"/>
              <w:bidi w:val="0"/>
              <w:spacing w:before="0" w:after="0"/>
              <w:jc w:val="left"/>
              <w:rPr/>
            </w:pPr>
            <w:r>
              <w:rPr>
                <w:rFonts w:ascii="TimesNewRoman;Bold" w:hAnsi="TimesNewRoman;Bold"/>
                <w:color w:val="000000"/>
                <w:sz w:val="20"/>
              </w:rPr>
              <w:t>(2)</w:t>
            </w:r>
            <w:r>
              <w:rPr/>
              <w:t xml:space="preserve"> </w:t>
            </w:r>
          </w:p>
        </w:tc>
        <w:tc>
          <w:tcPr>
            <w:tcW w:w="9911" w:type="dxa"/>
            <w:tcBorders/>
            <w:vAlign w:val="center"/>
          </w:tcPr>
          <w:p>
            <w:pPr>
              <w:pStyle w:val="TableContents"/>
              <w:bidi w:val="0"/>
              <w:spacing w:before="0" w:after="283"/>
              <w:jc w:val="left"/>
              <w:rPr>
                <w:rFonts w:ascii="TimesNewRoman;Bold" w:hAnsi="TimesNewRoman;Bold"/>
                <w:color w:val="000000"/>
                <w:sz w:val="20"/>
              </w:rPr>
            </w:pPr>
            <w:r>
              <w:rPr>
                <w:rFonts w:ascii="TimesNewRoman;Bold" w:hAnsi="TimesNewRoman;Bold"/>
                <w:color w:val="000000"/>
                <w:sz w:val="20"/>
              </w:rPr>
              <w:t>These shares of common stock, par value $0.00001 per share (the “Common Stock”), of Veradermics, Incorporated (the “Issuer”) were sold by Averill Master Fund in an open market transaction.</w:t>
            </w:r>
          </w:p>
        </w:tc>
      </w:tr>
      <w:tr>
        <w:trPr/>
        <w:tc>
          <w:tcPr>
            <w:tcW w:w="294" w:type="dxa"/>
            <w:tcBorders/>
            <w:vAlign w:val="center"/>
          </w:tcPr>
          <w:p>
            <w:pPr>
              <w:pStyle w:val="TableContents"/>
              <w:bidi w:val="0"/>
              <w:spacing w:before="0" w:after="0"/>
              <w:jc w:val="left"/>
              <w:rPr/>
            </w:pPr>
            <w:r>
              <w:rPr>
                <w:rFonts w:ascii="TimesNewRoman;Bold" w:hAnsi="TimesNewRoman;Bold"/>
                <w:color w:val="000000"/>
                <w:sz w:val="20"/>
              </w:rPr>
              <w:t>(3)</w:t>
            </w:r>
            <w:r>
              <w:rPr/>
              <w:t xml:space="preserve"> </w:t>
            </w:r>
          </w:p>
        </w:tc>
        <w:tc>
          <w:tcPr>
            <w:tcW w:w="9911" w:type="dxa"/>
            <w:tcBorders/>
            <w:vAlign w:val="center"/>
          </w:tcPr>
          <w:p>
            <w:pPr>
              <w:pStyle w:val="TableContents"/>
              <w:bidi w:val="0"/>
              <w:spacing w:before="0" w:after="283"/>
              <w:jc w:val="left"/>
              <w:rPr>
                <w:rFonts w:ascii="TimesNewRoman;Bold" w:hAnsi="TimesNewRoman;Bold"/>
                <w:color w:val="000000"/>
                <w:sz w:val="20"/>
              </w:rPr>
            </w:pPr>
            <w:r>
              <w:rPr>
                <w:rFonts w:ascii="TimesNewRoman;Bold" w:hAnsi="TimesNewRoman;Bold"/>
                <w:color w:val="000000"/>
                <w:sz w:val="20"/>
              </w:rPr>
              <w:t>These shares of Common Stock of the Issuer were sold by Averill Madison Master Fund in an open market transaction.</w:t>
            </w:r>
          </w:p>
        </w:tc>
      </w:tr>
      <w:tr>
        <w:trPr/>
        <w:tc>
          <w:tcPr>
            <w:tcW w:w="294" w:type="dxa"/>
            <w:tcBorders/>
            <w:vAlign w:val="center"/>
          </w:tcPr>
          <w:p>
            <w:pPr>
              <w:pStyle w:val="TableContents"/>
              <w:bidi w:val="0"/>
              <w:spacing w:before="0" w:after="0"/>
              <w:jc w:val="center"/>
              <w:rPr/>
            </w:pPr>
            <w:r>
              <w:rPr>
                <w:color w:val="000000"/>
                <w:sz w:val="20"/>
              </w:rPr>
              <w:t>(4)</w:t>
            </w:r>
            <w:r>
              <w:rPr/>
              <w:t xml:space="preserve"> </w:t>
            </w:r>
          </w:p>
        </w:tc>
        <w:tc>
          <w:tcPr>
            <w:tcW w:w="9911" w:type="dxa"/>
            <w:tcBorders/>
            <w:vAlign w:val="center"/>
          </w:tcPr>
          <w:p>
            <w:pPr>
              <w:pStyle w:val="TableContents"/>
              <w:bidi w:val="0"/>
              <w:spacing w:before="0" w:after="283"/>
              <w:jc w:val="left"/>
              <w:rPr>
                <w:color w:val="000000"/>
                <w:sz w:val="20"/>
              </w:rPr>
            </w:pPr>
            <w:r>
              <w:rPr>
                <w:color w:val="000000"/>
                <w:sz w:val="20"/>
              </w:rPr>
              <w:t>Represents the exercise of pre-funded warrants to purchase Common Stock of the Issuer at an exercise price of $0.00001 per share, subject to adjustment pursuant their terms (the “Pre-Funded Warrants”) directly held by Averill Master Fund acquired as part of the Issuer’s private placement in May 2026.</w:t>
            </w:r>
          </w:p>
        </w:tc>
      </w:tr>
      <w:tr>
        <w:trPr/>
        <w:tc>
          <w:tcPr>
            <w:tcW w:w="294" w:type="dxa"/>
            <w:tcBorders/>
            <w:vAlign w:val="center"/>
          </w:tcPr>
          <w:p>
            <w:pPr>
              <w:pStyle w:val="TableContents"/>
              <w:bidi w:val="0"/>
              <w:spacing w:before="0" w:after="0"/>
              <w:jc w:val="center"/>
              <w:rPr/>
            </w:pPr>
            <w:r>
              <w:rPr>
                <w:color w:val="000000"/>
                <w:sz w:val="20"/>
              </w:rPr>
              <w:t>(5)</w:t>
            </w:r>
            <w:r>
              <w:rPr/>
              <w:t xml:space="preserve"> </w:t>
            </w:r>
          </w:p>
        </w:tc>
        <w:tc>
          <w:tcPr>
            <w:tcW w:w="9911" w:type="dxa"/>
            <w:tcBorders/>
            <w:vAlign w:val="center"/>
          </w:tcPr>
          <w:p>
            <w:pPr>
              <w:pStyle w:val="TableContents"/>
              <w:bidi w:val="0"/>
              <w:spacing w:before="0" w:after="283"/>
              <w:jc w:val="left"/>
              <w:rPr>
                <w:color w:val="000000"/>
                <w:sz w:val="20"/>
              </w:rPr>
            </w:pPr>
            <w:r>
              <w:rPr>
                <w:color w:val="000000"/>
                <w:sz w:val="20"/>
              </w:rPr>
              <w:t>Represents the exercise of Pre-Funded Warrants directly held by Averill Madison Master Fund acquired as part of the Issuer’s private placement in May 2026 at a price of $99.9999 per Pre-Funded Warrant.</w:t>
            </w:r>
          </w:p>
        </w:tc>
      </w:tr>
      <w:tr>
        <w:trPr/>
        <w:tc>
          <w:tcPr>
            <w:tcW w:w="294" w:type="dxa"/>
            <w:tcBorders/>
            <w:vAlign w:val="center"/>
          </w:tcPr>
          <w:p>
            <w:pPr>
              <w:pStyle w:val="TableContents"/>
              <w:bidi w:val="0"/>
              <w:spacing w:before="0" w:after="0"/>
              <w:jc w:val="center"/>
              <w:rPr/>
            </w:pPr>
            <w:r>
              <w:rPr>
                <w:color w:val="000000"/>
                <w:sz w:val="20"/>
              </w:rPr>
              <w:t>(6)</w:t>
            </w:r>
            <w:r>
              <w:rPr/>
              <w:t xml:space="preserve"> </w:t>
            </w:r>
          </w:p>
        </w:tc>
        <w:tc>
          <w:tcPr>
            <w:tcW w:w="9911" w:type="dxa"/>
            <w:tcBorders/>
            <w:vAlign w:val="center"/>
          </w:tcPr>
          <w:p>
            <w:pPr>
              <w:pStyle w:val="TableContents"/>
              <w:bidi w:val="0"/>
              <w:spacing w:before="0" w:after="283"/>
              <w:jc w:val="left"/>
              <w:rPr>
                <w:color w:val="000000"/>
                <w:sz w:val="20"/>
              </w:rPr>
            </w:pPr>
            <w:r>
              <w:rPr>
                <w:color w:val="000000"/>
                <w:sz w:val="20"/>
              </w:rPr>
              <w:t>The exercise price of each Pre-Funded Warrant was $0.00001 per share, subject to adjustment pursuant to the terms of the Pre-Funded Warrants.</w:t>
            </w:r>
          </w:p>
        </w:tc>
      </w:tr>
      <w:tr>
        <w:trPr/>
        <w:tc>
          <w:tcPr>
            <w:tcW w:w="294" w:type="dxa"/>
            <w:tcBorders/>
            <w:vAlign w:val="center"/>
          </w:tcPr>
          <w:p>
            <w:pPr>
              <w:pStyle w:val="TableContents"/>
              <w:bidi w:val="0"/>
              <w:spacing w:before="0" w:after="0"/>
              <w:jc w:val="center"/>
              <w:rPr/>
            </w:pPr>
            <w:r>
              <w:rPr>
                <w:color w:val="000000"/>
                <w:sz w:val="20"/>
              </w:rPr>
              <w:t>(7)</w:t>
            </w:r>
            <w:r>
              <w:rPr/>
              <w:t xml:space="preserve"> </w:t>
            </w:r>
          </w:p>
        </w:tc>
        <w:tc>
          <w:tcPr>
            <w:tcW w:w="9911" w:type="dxa"/>
            <w:tcBorders/>
            <w:vAlign w:val="center"/>
          </w:tcPr>
          <w:p>
            <w:pPr>
              <w:pStyle w:val="TableContents"/>
              <w:bidi w:val="0"/>
              <w:spacing w:before="0" w:after="283"/>
              <w:jc w:val="left"/>
              <w:rPr>
                <w:color w:val="000000"/>
                <w:sz w:val="20"/>
              </w:rPr>
            </w:pPr>
            <w:r>
              <w:rPr>
                <w:color w:val="000000"/>
                <w:sz w:val="20"/>
              </w:rPr>
              <w:t>The Pre-Funded Warrants reflected herein had no expiration date and were exercisable at any time after their applicable original issuance to the extent that immediately prior to or following such exercise, the holders thereof, together with their affiliates and any members of a Section 13(d) group with such holders, collectively beneficially owned or would have beneficially owned as determined in accordance with Section 13(d) of the Exchange Act and the rules promulgated thereunder, no more than 9.99% of the Common Stock that would have been issued and outstanding following such exercise (the “Beneficial Ownership Limitation”). The number of shares underlying such Pre-Funded Warrants is reported herein without regard to any limitations on exercise contained therein.</w:t>
            </w:r>
          </w:p>
        </w:tc>
      </w:tr>
      <w:tr>
        <w:trPr/>
        <w:tc>
          <w:tcPr>
            <w:tcW w:w="294" w:type="dxa"/>
            <w:tcBorders/>
            <w:vAlign w:val="center"/>
          </w:tcPr>
          <w:p>
            <w:pPr>
              <w:pStyle w:val="TableContents"/>
              <w:bidi w:val="0"/>
              <w:spacing w:before="0" w:after="0"/>
              <w:jc w:val="center"/>
              <w:rPr/>
            </w:pPr>
            <w:r>
              <w:rPr>
                <w:color w:val="000000"/>
                <w:sz w:val="20"/>
              </w:rPr>
              <w:t>(8)</w:t>
            </w:r>
            <w:r>
              <w:rPr/>
              <w:t xml:space="preserve"> </w:t>
            </w:r>
          </w:p>
        </w:tc>
        <w:tc>
          <w:tcPr>
            <w:tcW w:w="9911" w:type="dxa"/>
            <w:tcBorders/>
            <w:vAlign w:val="center"/>
          </w:tcPr>
          <w:p>
            <w:pPr>
              <w:pStyle w:val="TableContents"/>
              <w:bidi w:val="0"/>
              <w:spacing w:before="0" w:after="0"/>
              <w:jc w:val="left"/>
              <w:rPr/>
            </w:pPr>
            <w:r>
              <w:rPr>
                <w:color w:val="000000"/>
                <w:sz w:val="20"/>
              </w:rPr>
              <w:t>By written notice to the Issuer, Averill Master Fund and Averill Madison Master Fund were permitted to increase or decrease the Beneficial Ownership Limitation applicable to that Fund, together with its affiliates and any members of a Section 13(d) group with such Fund, to any other percentage not in excess of 19.99%; provided that any such increase would not have been effective until the 61st day after such notice was delivered to the Issuer and would not have negatively affected any partial exercise effected prior to such change.</w:t>
            </w:r>
            <w:r>
              <w:rPr/>
              <w:t xml:space="preserve"> </w:t>
            </w:r>
          </w:p>
        </w:tc>
      </w:tr>
    </w:tbl>
    <w:p>
      <w:pPr>
        <w:pStyle w:val="TextBody"/>
        <w:bidi w:val="0"/>
        <w:jc w:val="right"/>
        <w:rPr/>
      </w:pPr>
      <w:r>
        <w:rPr/>
        <w:t xml:space="preserve">  </w:t>
      </w:r>
    </w:p>
    <w:p>
      <w:pPr>
        <w:pStyle w:val="TextBody"/>
        <w:bidi w:val="0"/>
        <w:spacing w:before="0" w:after="0"/>
        <w:jc w:val="right"/>
        <w:rPr/>
      </w:pPr>
      <w:bookmarkStart w:id="4" w:name="ex99_2.htm"/>
      <w:bookmarkStart w:id="5" w:name="ksex99_2"/>
      <w:bookmarkEnd w:id="4"/>
      <w:bookmarkEnd w:id="5"/>
      <w:r>
        <w:rPr>
          <w:color w:val="000000"/>
          <w:sz w:val="20"/>
        </w:rPr>
        <w:t>Exhibit 99.2</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sz w:val="20"/>
        </w:rPr>
        <w:t>Joint Filer Information</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Joint Filers:</w:t>
      </w:r>
      <w:r>
        <w:rPr/>
        <w:t xml:space="preserve"> </w:t>
      </w:r>
    </w:p>
    <w:p>
      <w:pPr>
        <w:pStyle w:val="TextBody"/>
        <w:bidi w:val="0"/>
        <w:spacing w:before="0" w:after="0"/>
        <w:jc w:val="left"/>
        <w:rPr/>
      </w:pPr>
      <w:r>
        <w:rPr/>
        <w:t xml:space="preserve">  </w:t>
      </w:r>
    </w:p>
    <w:tbl>
      <w:tblPr>
        <w:tblW w:w="3932" w:type="dxa"/>
        <w:jc w:val="left"/>
        <w:tblInd w:w="0" w:type="dxa"/>
        <w:tblLayout w:type="fixed"/>
        <w:tblCellMar>
          <w:top w:w="28" w:type="dxa"/>
          <w:left w:w="28" w:type="dxa"/>
          <w:bottom w:w="28" w:type="dxa"/>
          <w:right w:w="28" w:type="dxa"/>
        </w:tblCellMar>
      </w:tblPr>
      <w:tblGrid>
        <w:gridCol w:w="901"/>
        <w:gridCol w:w="3031"/>
      </w:tblGrid>
      <w:tr>
        <w:trPr/>
        <w:tc>
          <w:tcPr>
            <w:tcW w:w="901" w:type="dxa"/>
            <w:tcBorders/>
            <w:vAlign w:val="center"/>
          </w:tcPr>
          <w:p>
            <w:pPr>
              <w:pStyle w:val="TableContents"/>
              <w:bidi w:val="0"/>
              <w:spacing w:before="0" w:after="0"/>
              <w:jc w:val="left"/>
              <w:rPr/>
            </w:pPr>
            <w:r>
              <w:rPr>
                <w:color w:val="000000"/>
                <w:sz w:val="20"/>
              </w:rPr>
              <w:t>1. Name:</w:t>
            </w:r>
            <w:r>
              <w:rPr/>
              <w:t xml:space="preserve"> </w:t>
            </w:r>
          </w:p>
        </w:tc>
        <w:tc>
          <w:tcPr>
            <w:tcW w:w="3031" w:type="dxa"/>
            <w:tcBorders/>
            <w:vAlign w:val="center"/>
          </w:tcPr>
          <w:p>
            <w:pPr>
              <w:pStyle w:val="TableContents"/>
              <w:bidi w:val="0"/>
              <w:spacing w:before="0" w:after="0"/>
              <w:jc w:val="left"/>
              <w:rPr/>
            </w:pPr>
            <w:r>
              <w:rPr>
                <w:color w:val="000000"/>
                <w:sz w:val="20"/>
              </w:rPr>
              <w:t>Aaron Cowen</w:t>
            </w:r>
            <w:r>
              <w:rPr/>
              <w:t xml:space="preserve"> </w:t>
            </w:r>
          </w:p>
        </w:tc>
      </w:tr>
      <w:tr>
        <w:trPr/>
        <w:tc>
          <w:tcPr>
            <w:tcW w:w="901" w:type="dxa"/>
            <w:tcBorders/>
            <w:vAlign w:val="center"/>
          </w:tcPr>
          <w:p>
            <w:pPr>
              <w:pStyle w:val="TableContents"/>
              <w:bidi w:val="0"/>
              <w:spacing w:before="0" w:after="0"/>
              <w:jc w:val="left"/>
              <w:rPr/>
            </w:pPr>
            <w:r>
              <w:rPr>
                <w:color w:val="000000"/>
                <w:sz w:val="20"/>
              </w:rPr>
              <w:t>Address:</w:t>
            </w:r>
            <w:r>
              <w:rPr/>
              <w:t xml:space="preserve"> </w:t>
            </w:r>
          </w:p>
        </w:tc>
        <w:tc>
          <w:tcPr>
            <w:tcW w:w="3031" w:type="dxa"/>
            <w:tcBorders/>
            <w:vAlign w:val="center"/>
          </w:tcPr>
          <w:p>
            <w:pPr>
              <w:pStyle w:val="TableContents"/>
              <w:bidi w:val="0"/>
              <w:spacing w:before="0" w:after="0"/>
              <w:jc w:val="left"/>
              <w:rPr/>
            </w:pPr>
            <w:r>
              <w:rPr>
                <w:color w:val="000000"/>
                <w:sz w:val="20"/>
              </w:rPr>
              <w:t>c/o Montanova Capital, LLC</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sz w:val="20"/>
              </w:rPr>
              <w:t>11 E 26th Street, 16th Floor</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sz w:val="20"/>
              </w:rPr>
              <w:t>New York, NY 10010</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rPr>
              <w:t> </w:t>
            </w:r>
            <w:r>
              <w:rPr/>
              <w:t xml:space="preserve"> </w:t>
            </w:r>
          </w:p>
        </w:tc>
      </w:tr>
      <w:tr>
        <w:trPr/>
        <w:tc>
          <w:tcPr>
            <w:tcW w:w="901" w:type="dxa"/>
            <w:tcBorders/>
            <w:vAlign w:val="center"/>
          </w:tcPr>
          <w:p>
            <w:pPr>
              <w:pStyle w:val="TableContents"/>
              <w:bidi w:val="0"/>
              <w:spacing w:before="0" w:after="0"/>
              <w:jc w:val="left"/>
              <w:rPr/>
            </w:pPr>
            <w:r>
              <w:rPr>
                <w:color w:val="000000"/>
                <w:sz w:val="20"/>
              </w:rPr>
              <w:t>2. Name:</w:t>
            </w:r>
            <w:r>
              <w:rPr/>
              <w:t xml:space="preserve"> </w:t>
            </w:r>
          </w:p>
        </w:tc>
        <w:tc>
          <w:tcPr>
            <w:tcW w:w="3031" w:type="dxa"/>
            <w:tcBorders/>
            <w:vAlign w:val="center"/>
          </w:tcPr>
          <w:p>
            <w:pPr>
              <w:pStyle w:val="TableContents"/>
              <w:bidi w:val="0"/>
              <w:spacing w:before="0" w:after="0"/>
              <w:jc w:val="left"/>
              <w:rPr/>
            </w:pPr>
            <w:r>
              <w:rPr>
                <w:color w:val="000000"/>
                <w:sz w:val="20"/>
              </w:rPr>
              <w:t>Averill Master Fund, Ltd.</w:t>
            </w:r>
            <w:r>
              <w:rPr/>
              <w:t xml:space="preserve"> </w:t>
            </w:r>
          </w:p>
        </w:tc>
      </w:tr>
      <w:tr>
        <w:trPr/>
        <w:tc>
          <w:tcPr>
            <w:tcW w:w="901" w:type="dxa"/>
            <w:tcBorders/>
            <w:vAlign w:val="center"/>
          </w:tcPr>
          <w:p>
            <w:pPr>
              <w:pStyle w:val="TableContents"/>
              <w:bidi w:val="0"/>
              <w:spacing w:before="0" w:after="0"/>
              <w:jc w:val="left"/>
              <w:rPr/>
            </w:pPr>
            <w:r>
              <w:rPr>
                <w:color w:val="000000"/>
                <w:sz w:val="20"/>
              </w:rPr>
              <w:t>Address:</w:t>
            </w:r>
            <w:r>
              <w:rPr/>
              <w:t xml:space="preserve"> </w:t>
            </w:r>
          </w:p>
        </w:tc>
        <w:tc>
          <w:tcPr>
            <w:tcW w:w="3031" w:type="dxa"/>
            <w:tcBorders/>
            <w:vAlign w:val="center"/>
          </w:tcPr>
          <w:p>
            <w:pPr>
              <w:pStyle w:val="TableContents"/>
              <w:bidi w:val="0"/>
              <w:spacing w:before="0" w:after="0"/>
              <w:jc w:val="left"/>
              <w:rPr/>
            </w:pPr>
            <w:r>
              <w:rPr>
                <w:color w:val="000000"/>
                <w:sz w:val="20"/>
              </w:rPr>
              <w:t>c/o Montanova Capital, LLC</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sz w:val="20"/>
              </w:rPr>
              <w:t>11 E 26th Street, 16th Floor</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sz w:val="20"/>
              </w:rPr>
              <w:t>New York, NY 10010</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rPr>
              <w:t> </w:t>
            </w:r>
            <w:r>
              <w:rPr/>
              <w:t xml:space="preserve"> </w:t>
            </w:r>
          </w:p>
        </w:tc>
      </w:tr>
      <w:tr>
        <w:trPr/>
        <w:tc>
          <w:tcPr>
            <w:tcW w:w="901" w:type="dxa"/>
            <w:tcBorders/>
            <w:vAlign w:val="center"/>
          </w:tcPr>
          <w:p>
            <w:pPr>
              <w:pStyle w:val="TableContents"/>
              <w:bidi w:val="0"/>
              <w:spacing w:before="0" w:after="0"/>
              <w:jc w:val="left"/>
              <w:rPr/>
            </w:pPr>
            <w:r>
              <w:rPr>
                <w:color w:val="000000"/>
                <w:sz w:val="20"/>
              </w:rPr>
              <w:t>3. Name:</w:t>
            </w:r>
            <w:r>
              <w:rPr/>
              <w:t xml:space="preserve"> </w:t>
            </w:r>
          </w:p>
        </w:tc>
        <w:tc>
          <w:tcPr>
            <w:tcW w:w="3031" w:type="dxa"/>
            <w:tcBorders/>
            <w:vAlign w:val="center"/>
          </w:tcPr>
          <w:p>
            <w:pPr>
              <w:pStyle w:val="TableContents"/>
              <w:bidi w:val="0"/>
              <w:spacing w:before="0" w:after="0"/>
              <w:jc w:val="left"/>
              <w:rPr/>
            </w:pPr>
            <w:r>
              <w:rPr>
                <w:color w:val="000000"/>
                <w:sz w:val="20"/>
              </w:rPr>
              <w:t>Averill Madison Master Fund, Ltd.</w:t>
            </w:r>
            <w:r>
              <w:rPr/>
              <w:t xml:space="preserve"> </w:t>
            </w:r>
          </w:p>
        </w:tc>
      </w:tr>
      <w:tr>
        <w:trPr/>
        <w:tc>
          <w:tcPr>
            <w:tcW w:w="901" w:type="dxa"/>
            <w:tcBorders/>
            <w:vAlign w:val="center"/>
          </w:tcPr>
          <w:p>
            <w:pPr>
              <w:pStyle w:val="TableContents"/>
              <w:bidi w:val="0"/>
              <w:spacing w:before="0" w:after="0"/>
              <w:jc w:val="left"/>
              <w:rPr/>
            </w:pPr>
            <w:r>
              <w:rPr>
                <w:color w:val="000000"/>
                <w:sz w:val="20"/>
              </w:rPr>
              <w:t>Address:</w:t>
            </w:r>
            <w:r>
              <w:rPr/>
              <w:t xml:space="preserve"> </w:t>
            </w:r>
          </w:p>
        </w:tc>
        <w:tc>
          <w:tcPr>
            <w:tcW w:w="3031" w:type="dxa"/>
            <w:tcBorders/>
            <w:vAlign w:val="center"/>
          </w:tcPr>
          <w:p>
            <w:pPr>
              <w:pStyle w:val="TableContents"/>
              <w:bidi w:val="0"/>
              <w:spacing w:before="0" w:after="0"/>
              <w:jc w:val="left"/>
              <w:rPr/>
            </w:pPr>
            <w:r>
              <w:rPr>
                <w:color w:val="000000"/>
                <w:sz w:val="20"/>
              </w:rPr>
              <w:t>c/o Montanova Capital, LLC</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sz w:val="20"/>
              </w:rPr>
              <w:t>11 E 26th Street, 16th Floor</w:t>
            </w:r>
            <w:r>
              <w:rPr/>
              <w:t xml:space="preserve"> </w:t>
            </w:r>
          </w:p>
        </w:tc>
      </w:tr>
      <w:tr>
        <w:trPr/>
        <w:tc>
          <w:tcPr>
            <w:tcW w:w="901" w:type="dxa"/>
            <w:tcBorders/>
            <w:vAlign w:val="center"/>
          </w:tcPr>
          <w:p>
            <w:pPr>
              <w:pStyle w:val="TableContents"/>
              <w:bidi w:val="0"/>
              <w:spacing w:before="0" w:after="0"/>
              <w:jc w:val="left"/>
              <w:rPr/>
            </w:pPr>
            <w:r>
              <w:rPr>
                <w:color w:val="000000"/>
              </w:rPr>
              <w:t> </w:t>
            </w:r>
            <w:r>
              <w:rPr/>
              <w:t xml:space="preserve"> </w:t>
            </w:r>
          </w:p>
        </w:tc>
        <w:tc>
          <w:tcPr>
            <w:tcW w:w="3031" w:type="dxa"/>
            <w:tcBorders/>
            <w:vAlign w:val="center"/>
          </w:tcPr>
          <w:p>
            <w:pPr>
              <w:pStyle w:val="TableContents"/>
              <w:bidi w:val="0"/>
              <w:spacing w:before="0" w:after="0"/>
              <w:jc w:val="left"/>
              <w:rPr/>
            </w:pPr>
            <w:r>
              <w:rPr>
                <w:color w:val="000000"/>
                <w:sz w:val="20"/>
              </w:rPr>
              <w:t>New York, NY 10010</w:t>
            </w:r>
            <w:r>
              <w:rPr/>
              <w:t xml:space="preserve"> </w:t>
            </w:r>
          </w:p>
        </w:tc>
      </w:tr>
    </w:tbl>
    <w:p>
      <w:pPr>
        <w:pStyle w:val="TextBody"/>
        <w:bidi w:val="0"/>
        <w:spacing w:before="0" w:after="283"/>
        <w:jc w:val="left"/>
        <w:rPr/>
      </w:pPr>
      <w:r>
        <w:rPr/>
        <w:t xml:space="preserve">  </w:t>
      </w:r>
    </w:p>
    <w:p>
      <w:pPr>
        <w:pStyle w:val="TextBody"/>
        <w:bidi w:val="0"/>
        <w:spacing w:before="0" w:after="0"/>
        <w:jc w:val="right"/>
        <w:rPr/>
      </w:pPr>
      <w:bookmarkStart w:id="6" w:name="ex99_3.htm"/>
      <w:bookmarkStart w:id="7" w:name="ksex99_3"/>
      <w:bookmarkEnd w:id="6"/>
      <w:bookmarkEnd w:id="7"/>
      <w:r>
        <w:rPr>
          <w:color w:val="000000"/>
          <w:sz w:val="20"/>
        </w:rPr>
        <w:t>Exhibit 99.3</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sz w:val="20"/>
        </w:rPr>
        <w:t>Joint Filers’ Signatures</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AVERILL MASTER FUND, LTD.</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881" w:type="dxa"/>
        <w:jc w:val="left"/>
        <w:tblInd w:w="0" w:type="dxa"/>
        <w:tblLayout w:type="fixed"/>
        <w:tblCellMar>
          <w:top w:w="28" w:type="dxa"/>
          <w:left w:w="28" w:type="dxa"/>
          <w:bottom w:w="28" w:type="dxa"/>
          <w:right w:w="28" w:type="dxa"/>
        </w:tblCellMar>
      </w:tblPr>
      <w:tblGrid>
        <w:gridCol w:w="307"/>
        <w:gridCol w:w="3533"/>
        <w:gridCol w:w="2041"/>
      </w:tblGrid>
      <w:tr>
        <w:trPr/>
        <w:tc>
          <w:tcPr>
            <w:tcW w:w="307"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3840" w:type="dxa"/>
            <w:gridSpan w:val="2"/>
            <w:tcBorders/>
            <w:vAlign w:val="center"/>
          </w:tcPr>
          <w:p>
            <w:pPr>
              <w:pStyle w:val="TableContents"/>
              <w:bidi w:val="0"/>
              <w:spacing w:before="0" w:after="0"/>
              <w:jc w:val="left"/>
              <w:rPr/>
            </w:pPr>
            <w:r>
              <w:rPr>
                <w:color w:val="000000"/>
                <w:sz w:val="20"/>
              </w:rPr>
              <w:t xml:space="preserve">By: </w:t>
            </w:r>
            <w:r>
              <w:rPr>
                <w:color w:val="000000"/>
                <w:sz w:val="20"/>
                <w:u w:val="single"/>
              </w:rPr>
              <w:t>/s/ Andrew Nathanson </w:t>
            </w:r>
            <w:r>
              <w:rPr/>
              <w:t xml:space="preserve"> </w:t>
            </w:r>
          </w:p>
        </w:tc>
        <w:tc>
          <w:tcPr>
            <w:tcW w:w="2041" w:type="dxa"/>
            <w:tcBorders/>
            <w:vAlign w:val="center"/>
          </w:tcPr>
          <w:p>
            <w:pPr>
              <w:pStyle w:val="TableContents"/>
              <w:bidi w:val="0"/>
              <w:spacing w:before="0" w:after="0"/>
              <w:jc w:val="left"/>
              <w:rPr/>
            </w:pPr>
            <w:r>
              <w:rPr>
                <w:color w:val="000000"/>
                <w:sz w:val="20"/>
                <w:u w:val="single"/>
              </w:rPr>
              <w:t>Date: August 21, 2026</w:t>
            </w:r>
            <w:r>
              <w:rPr/>
              <w:t xml:space="preserve"> </w:t>
            </w:r>
          </w:p>
        </w:tc>
      </w:tr>
      <w:tr>
        <w:trPr/>
        <w:tc>
          <w:tcPr>
            <w:tcW w:w="307" w:type="dxa"/>
            <w:tcBorders/>
            <w:vAlign w:val="center"/>
          </w:tcPr>
          <w:p>
            <w:pPr>
              <w:pStyle w:val="TableContents"/>
              <w:bidi w:val="0"/>
              <w:spacing w:before="0" w:after="0"/>
              <w:jc w:val="left"/>
              <w:rPr/>
            </w:pPr>
            <w:r>
              <w:rPr>
                <w:color w:val="000000"/>
              </w:rPr>
              <w:t> </w:t>
            </w:r>
            <w:r>
              <w:rPr/>
              <w:t xml:space="preserve"> </w:t>
            </w:r>
          </w:p>
        </w:tc>
        <w:tc>
          <w:tcPr>
            <w:tcW w:w="3533" w:type="dxa"/>
            <w:tcBorders/>
            <w:vAlign w:val="center"/>
          </w:tcPr>
          <w:p>
            <w:pPr>
              <w:pStyle w:val="TableContents"/>
              <w:bidi w:val="0"/>
              <w:spacing w:before="0" w:after="0"/>
              <w:jc w:val="left"/>
              <w:rPr/>
            </w:pPr>
            <w:r>
              <w:rPr>
                <w:color w:val="000000"/>
              </w:rPr>
              <w:t>  </w:t>
            </w:r>
            <w:r>
              <w:rPr>
                <w:color w:val="000000"/>
                <w:sz w:val="20"/>
              </w:rPr>
              <w:t>Name: Andrew Nathanson</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07" w:type="dxa"/>
            <w:tcBorders/>
            <w:vAlign w:val="center"/>
          </w:tcPr>
          <w:p>
            <w:pPr>
              <w:pStyle w:val="TableContents"/>
              <w:bidi w:val="0"/>
              <w:spacing w:before="0" w:after="0"/>
              <w:jc w:val="left"/>
              <w:rPr/>
            </w:pPr>
            <w:r>
              <w:rPr>
                <w:color w:val="000000"/>
              </w:rPr>
              <w:t> </w:t>
            </w:r>
            <w:r>
              <w:rPr/>
              <w:t xml:space="preserve"> </w:t>
            </w:r>
          </w:p>
        </w:tc>
        <w:tc>
          <w:tcPr>
            <w:tcW w:w="3533" w:type="dxa"/>
            <w:tcBorders/>
            <w:vAlign w:val="center"/>
          </w:tcPr>
          <w:p>
            <w:pPr>
              <w:pStyle w:val="TableContents"/>
              <w:bidi w:val="0"/>
              <w:spacing w:before="0" w:after="0"/>
              <w:jc w:val="left"/>
              <w:rPr/>
            </w:pPr>
            <w:r>
              <w:rPr>
                <w:color w:val="000000"/>
              </w:rPr>
              <w:t>  </w:t>
            </w:r>
            <w:r>
              <w:rPr>
                <w:color w:val="000000"/>
                <w:sz w:val="20"/>
              </w:rPr>
              <w:t>Title: Authorized Signatory</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t xml:space="preserve">  </w:t>
            </w:r>
          </w:p>
        </w:tc>
        <w:tc>
          <w:tcPr>
            <w:tcW w:w="2041" w:type="dxa"/>
            <w:tcBorders/>
            <w:vAlign w:val="center"/>
          </w:tcPr>
          <w:p>
            <w:pPr>
              <w:pStyle w:val="TableContents"/>
              <w:bidi w:val="0"/>
              <w:spacing w:before="0" w:after="0"/>
              <w:jc w:val="left"/>
              <w:rPr/>
            </w:pPr>
            <w:r>
              <w:rPr/>
              <w:t xml:space="preserve">  </w:t>
            </w:r>
          </w:p>
        </w:tc>
      </w:tr>
      <w:tr>
        <w:trPr/>
        <w:tc>
          <w:tcPr>
            <w:tcW w:w="3840" w:type="dxa"/>
            <w:gridSpan w:val="2"/>
            <w:tcBorders/>
            <w:vAlign w:val="center"/>
          </w:tcPr>
          <w:p>
            <w:pPr>
              <w:pStyle w:val="TableContents"/>
              <w:bidi w:val="0"/>
              <w:spacing w:before="0" w:after="0"/>
              <w:jc w:val="left"/>
              <w:rPr/>
            </w:pPr>
            <w:r>
              <w:rPr>
                <w:color w:val="000000"/>
                <w:sz w:val="20"/>
              </w:rPr>
              <w:t>AVERILL MADISON MASTER FUND, LTD.</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sz w:val="20"/>
              </w:rPr>
              <w:t xml:space="preserve">By: </w:t>
            </w:r>
            <w:r>
              <w:rPr>
                <w:color w:val="000000"/>
                <w:sz w:val="20"/>
                <w:u w:val="single"/>
              </w:rPr>
              <w:t>/s/ Andrew Nathanson </w:t>
            </w:r>
            <w:r>
              <w:rPr/>
              <w:t xml:space="preserve"> </w:t>
            </w:r>
          </w:p>
        </w:tc>
        <w:tc>
          <w:tcPr>
            <w:tcW w:w="2041" w:type="dxa"/>
            <w:tcBorders/>
            <w:vAlign w:val="center"/>
          </w:tcPr>
          <w:p>
            <w:pPr>
              <w:pStyle w:val="TableContents"/>
              <w:bidi w:val="0"/>
              <w:spacing w:before="0" w:after="0"/>
              <w:jc w:val="left"/>
              <w:rPr/>
            </w:pPr>
            <w:r>
              <w:rPr>
                <w:color w:val="000000"/>
                <w:sz w:val="20"/>
                <w:u w:val="single"/>
              </w:rPr>
              <w:t>Date: August 21, 2026</w:t>
            </w:r>
            <w:r>
              <w:rPr/>
              <w:t xml:space="preserve"> </w:t>
            </w:r>
          </w:p>
        </w:tc>
      </w:tr>
      <w:tr>
        <w:trPr/>
        <w:tc>
          <w:tcPr>
            <w:tcW w:w="307" w:type="dxa"/>
            <w:tcBorders/>
            <w:vAlign w:val="center"/>
          </w:tcPr>
          <w:p>
            <w:pPr>
              <w:pStyle w:val="TableContents"/>
              <w:bidi w:val="0"/>
              <w:spacing w:before="0" w:after="0"/>
              <w:jc w:val="left"/>
              <w:rPr/>
            </w:pPr>
            <w:r>
              <w:rPr>
                <w:color w:val="000000"/>
              </w:rPr>
              <w:t> </w:t>
            </w:r>
            <w:r>
              <w:rPr/>
              <w:t xml:space="preserve"> </w:t>
            </w:r>
          </w:p>
        </w:tc>
        <w:tc>
          <w:tcPr>
            <w:tcW w:w="3533" w:type="dxa"/>
            <w:tcBorders/>
            <w:vAlign w:val="center"/>
          </w:tcPr>
          <w:p>
            <w:pPr>
              <w:pStyle w:val="TableContents"/>
              <w:bidi w:val="0"/>
              <w:spacing w:before="0" w:after="0"/>
              <w:jc w:val="left"/>
              <w:rPr/>
            </w:pPr>
            <w:r>
              <w:rPr>
                <w:color w:val="000000"/>
              </w:rPr>
              <w:t>  </w:t>
            </w:r>
            <w:r>
              <w:rPr>
                <w:color w:val="000000"/>
                <w:sz w:val="20"/>
              </w:rPr>
              <w:t>Name: Andrew Nathanson</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07" w:type="dxa"/>
            <w:tcBorders/>
            <w:vAlign w:val="center"/>
          </w:tcPr>
          <w:p>
            <w:pPr>
              <w:pStyle w:val="TableContents"/>
              <w:bidi w:val="0"/>
              <w:spacing w:before="0" w:after="0"/>
              <w:jc w:val="left"/>
              <w:rPr/>
            </w:pPr>
            <w:r>
              <w:rPr>
                <w:color w:val="000000"/>
              </w:rPr>
              <w:t> </w:t>
            </w:r>
            <w:r>
              <w:rPr/>
              <w:t xml:space="preserve"> </w:t>
            </w:r>
          </w:p>
        </w:tc>
        <w:tc>
          <w:tcPr>
            <w:tcW w:w="3533" w:type="dxa"/>
            <w:tcBorders/>
            <w:vAlign w:val="center"/>
          </w:tcPr>
          <w:p>
            <w:pPr>
              <w:pStyle w:val="TableContents"/>
              <w:bidi w:val="0"/>
              <w:spacing w:before="0" w:after="0"/>
              <w:jc w:val="left"/>
              <w:rPr/>
            </w:pPr>
            <w:r>
              <w:rPr>
                <w:color w:val="000000"/>
              </w:rPr>
              <w:t>  </w:t>
            </w:r>
            <w:r>
              <w:rPr>
                <w:color w:val="000000"/>
                <w:sz w:val="20"/>
              </w:rPr>
              <w:t>Title: Authorized Signatory</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t xml:space="preserve">  </w:t>
            </w:r>
          </w:p>
        </w:tc>
        <w:tc>
          <w:tcPr>
            <w:tcW w:w="2041" w:type="dxa"/>
            <w:tcBorders/>
            <w:vAlign w:val="center"/>
          </w:tcPr>
          <w:p>
            <w:pPr>
              <w:pStyle w:val="TableContents"/>
              <w:bidi w:val="0"/>
              <w:spacing w:before="0" w:after="0"/>
              <w:jc w:val="left"/>
              <w:rPr/>
            </w:pP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sz w:val="20"/>
              </w:rPr>
              <w:t xml:space="preserve">By: </w:t>
            </w:r>
            <w:r>
              <w:rPr>
                <w:color w:val="000000"/>
                <w:sz w:val="20"/>
                <w:u w:val="single"/>
              </w:rPr>
              <w:t>/s/ Aaron Cowen </w:t>
            </w:r>
            <w:r>
              <w:rPr/>
              <w:t xml:space="preserve"> </w:t>
            </w:r>
          </w:p>
        </w:tc>
        <w:tc>
          <w:tcPr>
            <w:tcW w:w="2041" w:type="dxa"/>
            <w:tcBorders/>
            <w:vAlign w:val="center"/>
          </w:tcPr>
          <w:p>
            <w:pPr>
              <w:pStyle w:val="TableContents"/>
              <w:bidi w:val="0"/>
              <w:spacing w:before="0" w:after="0"/>
              <w:jc w:val="left"/>
              <w:rPr/>
            </w:pPr>
            <w:r>
              <w:rPr>
                <w:color w:val="000000"/>
                <w:sz w:val="20"/>
                <w:u w:val="single"/>
              </w:rPr>
              <w:t>Date: August 21, 2026</w:t>
            </w:r>
            <w:r>
              <w:rPr/>
              <w:t xml:space="preserve"> </w:t>
            </w:r>
          </w:p>
        </w:tc>
      </w:tr>
      <w:tr>
        <w:trPr/>
        <w:tc>
          <w:tcPr>
            <w:tcW w:w="307" w:type="dxa"/>
            <w:tcBorders/>
            <w:vAlign w:val="center"/>
          </w:tcPr>
          <w:p>
            <w:pPr>
              <w:pStyle w:val="TableContents"/>
              <w:bidi w:val="0"/>
              <w:spacing w:before="0" w:after="0"/>
              <w:jc w:val="left"/>
              <w:rPr/>
            </w:pPr>
            <w:r>
              <w:rPr>
                <w:color w:val="000000"/>
              </w:rPr>
              <w:t> </w:t>
            </w:r>
            <w:r>
              <w:rPr/>
              <w:t xml:space="preserve"> </w:t>
            </w:r>
          </w:p>
        </w:tc>
        <w:tc>
          <w:tcPr>
            <w:tcW w:w="3533" w:type="dxa"/>
            <w:tcBorders/>
            <w:vAlign w:val="center"/>
          </w:tcPr>
          <w:p>
            <w:pPr>
              <w:pStyle w:val="TableContents"/>
              <w:bidi w:val="0"/>
              <w:spacing w:before="0" w:after="0"/>
              <w:jc w:val="left"/>
              <w:rPr/>
            </w:pPr>
            <w:r>
              <w:rPr>
                <w:color w:val="000000"/>
              </w:rPr>
              <w:t>  </w:t>
            </w:r>
            <w:r>
              <w:rPr>
                <w:color w:val="000000"/>
                <w:sz w:val="20"/>
              </w:rPr>
              <w:t>Name: Aaron Cowen</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r>
        <w:trPr/>
        <w:tc>
          <w:tcPr>
            <w:tcW w:w="3840" w:type="dxa"/>
            <w:gridSpan w:val="2"/>
            <w:tcBorders/>
            <w:vAlign w:val="center"/>
          </w:tcPr>
          <w:p>
            <w:pPr>
              <w:pStyle w:val="TableContents"/>
              <w:bidi w:val="0"/>
              <w:spacing w:before="0" w:after="0"/>
              <w:jc w:val="left"/>
              <w:rPr/>
            </w:pPr>
            <w:r>
              <w:rPr>
                <w:color w:val="000000"/>
              </w:rPr>
              <w:t> </w:t>
            </w:r>
            <w:r>
              <w:rPr/>
              <w:t xml:space="preserve"> </w:t>
            </w:r>
          </w:p>
        </w:tc>
        <w:tc>
          <w:tcPr>
            <w:tcW w:w="204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color w:val="000000"/>
        </w:rPr>
        <w:t> </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NewRoman">
    <w:altName w:val="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9064" TargetMode="External"/><Relationship Id="rId5" Type="http://schemas.openxmlformats.org/officeDocument/2006/relationships/hyperlink" Target="http://www.sec.gov/cgi-bin/browse-edgar?action=getcompany&amp;CIK=00018276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69064" TargetMode="External"/><Relationship Id="rId9" Type="http://schemas.openxmlformats.org/officeDocument/2006/relationships/hyperlink" Target="http://www.sec.gov/cgi-bin/browse-edgar?action=getcompany&amp;CIK=0001869640" TargetMode="External"/><Relationship Id="rId10" Type="http://schemas.openxmlformats.org/officeDocument/2006/relationships/hyperlink" Target="http://www.sec.gov/cgi-bin/browse-edgar?action=getcompany&amp;CIK=0001939329" TargetMode="External"/><Relationship Id="rId11" Type="http://schemas.openxmlformats.org/officeDocument/2006/relationships/hyperlink" Target="http://www.sec.gov/cgi-bin/browse-edgar?action=getcompany&amp;CIK=000202124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1579</Words>
  <Characters>8466</Characters>
  <CharactersWithSpaces>9973</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