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Veradermics, Incorporated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Andrew Nathanson</w:t>
              <w:br/>
              <w:t>Montanova Capital, LLC, 11 E 26th Street, 16th Floor</w:t>
              <w:br/>
              <w:t>New York, NY, 10010</w:t>
              <w:br/>
              <w:t>(212) 702-5205</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Montanova Capital,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3,718,970.00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3,718,970.00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3,718,970.00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in relation to Item 13: Based on 41,780,136 shares of Common Stock outstanding as indicated in the Issuer's (as defined below) Form 10-Q for the fiscal quarter ended June 30, 2026, plus 300,000 shares of Common Stock issued upon the exercise of Pre-Funded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Averill Master Fund, Ltd.</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3,106,937.00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3,106,937.00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3,106,937.00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7.4 %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in relation to Item 13: Based on 41,780,136 shares of Common Stock outstanding as indicated in the Issuer's (as defined below) Form 10-Q for the fiscal quarter ended June 30, 2026, plus 300,000 shares of Common Stock issued upon the exercise of Pre-Funded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Averill Madison Master Fund, Ltd.</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612,033.00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612,033.00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612,033.00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in relation to Item 13: Based on 41,780,136 shares of Common Stock outstanding as indicated in the Issuer's (as defined below) Form 10-Q for the fiscal quarter ended June 30, 2026, plus 300,000 shares of Common Stock issued upon the exercise of Pre-Funded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Aaron Cowen</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3,718,970.00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3,718,970.00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3,718,970.00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8.8 %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in relation to Item 13: Based on 41,780,136 shares of Common Stock outstanding as indicated in the Issuer's (as defined below) Form 10-Q for the fiscal quarter ended June 30, 2026, plus 300,000 shares of Common Stock issued upon the exercise of Pre-Funded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51"/>
        <w:gridCol w:w="8899"/>
        <w:gridCol w:w="155"/>
      </w:tblGrid>
      <w:tr>
        <w:trPr/>
        <w:tc>
          <w:tcPr>
            <w:tcW w:w="1151" w:type="dxa"/>
            <w:tcBorders/>
            <w:vAlign w:val="center"/>
          </w:tcPr>
          <w:p>
            <w:pPr>
              <w:pStyle w:val="TableContents"/>
              <w:bidi w:val="0"/>
              <w:spacing w:before="0" w:after="283"/>
              <w:jc w:val="left"/>
              <w:rPr/>
            </w:pPr>
            <w:r>
              <w:rPr/>
              <w:t>Item 1.</w:t>
            </w:r>
          </w:p>
        </w:tc>
        <w:tc>
          <w:tcPr>
            <w:tcW w:w="8899"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$0.00001</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Name of Issuer: </w:t>
            </w:r>
          </w:p>
          <w:p>
            <w:pPr>
              <w:pStyle w:val="TableContents"/>
              <w:bidi w:val="0"/>
              <w:spacing w:before="0" w:after="0"/>
              <w:jc w:val="left"/>
              <w:rPr/>
            </w:pPr>
            <w:r>
              <w:rPr/>
              <w:t>Veradermics, Incorporated</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470 James Street, New Haven, CONNECTICUT , 06513.</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2 (this "Amendment") amends and supplements the statement on Schedule 13D filed on February 11, 2026 (the "Original Schedule 13D" and, as amended and supplemented by this amendment and Amendment No. 1 referred to herein as the "Schedule 13D"), as amended by Amendment No. 1 on May 5, 2026 ("Amendment No. 1") related to Common Stock of the Issuer. Capitalized terms used in this Amendment and not otherwise defined shall have the same meanings ascribed to them in the Original Schedule 13D.</w:t>
            </w:r>
          </w:p>
        </w:tc>
      </w:tr>
      <w:tr>
        <w:trPr/>
        <w:tc>
          <w:tcPr>
            <w:tcW w:w="1151" w:type="dxa"/>
            <w:tcBorders/>
            <w:vAlign w:val="center"/>
          </w:tcPr>
          <w:p>
            <w:pPr>
              <w:pStyle w:val="TableContents"/>
              <w:bidi w:val="0"/>
              <w:spacing w:before="0" w:after="283"/>
              <w:jc w:val="left"/>
              <w:rPr/>
            </w:pPr>
            <w:r>
              <w:rPr/>
              <w:t>Item 2.</w:t>
            </w:r>
          </w:p>
        </w:tc>
        <w:tc>
          <w:tcPr>
            <w:tcW w:w="8899"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spacing w:before="0" w:after="0"/>
              <w:jc w:val="left"/>
              <w:rPr/>
            </w:pPr>
            <w:r>
              <w:rPr/>
              <w:t>The information contained in Item 2(a) of the Original Schedule 13D is hereby amended and restated to read as follows: The persons filing this Schedule 13D are Averill Master Fund, Ltd., a Cayman Islands exempted company ("Averill Master Fund"), Averill Madison Master Fund, Ltd., a Cayman Islands exempted company ("Averill Madison Master Fund" and, together with Averill Master Fund, the "Funds"), Montanova Capital, LLC, a Delaware limited liability company ("Montanova Capital"), and Aaron Cowen ("Mr. Cowen") (collectively,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spacing w:before="0" w:after="0"/>
              <w:jc w:val="left"/>
              <w:rPr/>
            </w:pPr>
            <w:r>
              <w:rPr/>
              <w:t>The information contained in Item 2(b) of the Original Schedule 13D is hereby amended and restated to read as follows: The address of the principal office of (i) each of the Funds is c/o Maples Corporate Services Limited, P.O. Box 309, Ugland House, Grand Cayman, KY1-1104, Cayman Islands, (ii) each of Montanova Capital and Mr. Cowen is c/o Montanova Capital, LLC, 11 E 26th Street, 16th Floor, New York, New York, 10010 and (iii) each of the directors and executive officers named on Schedule III (each, a "Scheduled Person" and collectively, the "Scheduled Persons") is listed thereon, which Schedule III is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spacing w:before="0" w:after="0"/>
              <w:jc w:val="left"/>
              <w:rPr/>
            </w:pPr>
            <w:r>
              <w:rPr/>
              <w:t>The information contained in Item 2(c) of the Original Schedule 13D is hereby amended and restated to read as follows: Each of the Funds is a private investment fund. Montanova Capital serves as the investment manager of each of the Funds. Mr. Cowen is the control person and managing member of Montanova Capital. The principal business of each of the Scheduled Persons is listed on Schedule III, which Schedule III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(f)</w:t>
            </w:r>
          </w:p>
        </w:tc>
        <w:tc>
          <w:tcPr>
            <w:tcW w:w="8899" w:type="dxa"/>
            <w:tcBorders/>
            <w:vAlign w:val="center"/>
          </w:tcPr>
          <w:p>
            <w:pPr>
              <w:pStyle w:val="TableContents"/>
              <w:bidi w:val="0"/>
              <w:spacing w:before="0" w:after="0"/>
              <w:jc w:val="left"/>
              <w:rPr/>
            </w:pPr>
            <w:r>
              <w:rPr/>
              <w:t>The information contained in Item 2(f) of the Original Schedule 13D is hereby amended and restated to read as follows: Averill Master Fund is a Cayman Islands exempted company. Averill Madison Master Fund is a Cayman Islands exempted company. Montanova Capital is a Delaware limited liability company. Mr. Cowen is a United States citizen. Except as set forth on Schedule III, each of the directors and executive officers named on Schedule III hereto is a United States citizen, which Schedule III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3.</w:t>
            </w:r>
          </w:p>
        </w:tc>
        <w:tc>
          <w:tcPr>
            <w:tcW w:w="8899"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The information contained in Item 3 of the Original Schedule 13D is hereby amended and supplemented by adding the text set forth below after the last paragraph: Open Market Sales On August 19, 2026, (i) Averill Master Fund sold 690,601 shares of Common Stock in the open market at a per share price of $107.25, and (ii) Averill Madison Master Fund sold 59,399 shares of Common Stock in the open market, at a per share price of $107.25. Pre-Funded Warrant Exercise On August 20, 2026, (i) Averill Master Fund exercised Pre-Funded Warrants to purchase an aggregate of 149,000 shares of the Issuer's Common Stock for $0.00001 per share, and (ii) Averill Madison Master Fund exercised Pre-Funded Warrants to purchase an aggregate of 151,000 shares of the Issuer's Common Stock for $0.00001 per share. The exercise was for cash and was furnished from the working capital of the Funds.</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5.</w:t>
            </w:r>
          </w:p>
        </w:tc>
        <w:tc>
          <w:tcPr>
            <w:tcW w:w="8899"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spacing w:before="0" w:after="0"/>
              <w:jc w:val="left"/>
              <w:rPr/>
            </w:pPr>
            <w:r>
              <w:rPr/>
              <w:t>The information contained in Item 5 of the Original Schedule 13D is hereby amended and restated to read as follows: (a) and (b) The information contained on the cover pages to this Amendment is incorporated by reference into this Item 5. Mr. Cowen is the control person and managing member of Montanova Capital and may be deemed to control the other Reporting Persons. Mr. Cowen disclaims beneficial ownership of all shares of Common Stock held by the Funds, other than, to the extent of any pecuniary interest therein. Neither the filing of this Schedule 13D nor any of its contents shall be deemed to constitute an admission that any Reporting Person or any of its affiliates is the beneficial owner of any shares of Common Stock for purposes of Section 13(d) of the Securities Exchange Act of 1934, as amended, or for any other purpose.</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spacing w:before="0" w:after="0"/>
              <w:jc w:val="left"/>
              <w:rPr/>
            </w:pPr>
            <w:r>
              <w:rPr/>
              <w:t>The information disclosed in Item 3 of this Schedule 13D is incorporated by reference into this Item 5. Except as disclosed in Item 3 of this Schedule 13D, the Reporting Persons and, to their knowledge, the Scheduled Persons have not effected any transactions in Common Stock during the past sixty days.</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(e)</w:t>
            </w:r>
          </w:p>
        </w:tc>
        <w:tc>
          <w:tcPr>
            <w:tcW w:w="8899"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6.</w:t>
            </w:r>
          </w:p>
        </w:tc>
        <w:tc>
          <w:tcPr>
            <w:tcW w:w="8899"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The information disclosed in Item 3 of this Schedule 13D is incorporated by reference into this Item 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24" w:type="dxa"/>
        <w:jc w:val="left"/>
        <w:tblInd w:w="0" w:type="dxa"/>
        <w:tblLayout w:type="fixed"/>
        <w:tblCellMar>
          <w:top w:w="28" w:type="dxa"/>
          <w:left w:w="28" w:type="dxa"/>
          <w:bottom w:w="28" w:type="dxa"/>
          <w:right w:w="28" w:type="dxa"/>
        </w:tblCellMar>
      </w:tblPr>
      <w:tblGrid>
        <w:gridCol w:w="2712"/>
        <w:gridCol w:w="2712"/>
      </w:tblGrid>
      <w:tr>
        <w:trPr/>
        <w:tc>
          <w:tcPr>
            <w:tcW w:w="2712" w:type="dxa"/>
            <w:tcBorders/>
            <w:vAlign w:val="center"/>
          </w:tcPr>
          <w:p>
            <w:pPr>
              <w:pStyle w:val="TableContents"/>
              <w:bidi w:val="0"/>
              <w:spacing w:before="0" w:after="0"/>
              <w:jc w:val="left"/>
              <w:rPr/>
            </w:pPr>
            <w:r>
              <w:rPr/>
              <w:t> </w:t>
            </w:r>
          </w:p>
          <w:tbl>
            <w:tblPr>
              <w:tblW w:w="2566" w:type="dxa"/>
              <w:jc w:val="left"/>
              <w:tblInd w:w="0" w:type="dxa"/>
              <w:tblLayout w:type="fixed"/>
              <w:tblCellMar>
                <w:top w:w="28" w:type="dxa"/>
                <w:left w:w="28" w:type="dxa"/>
                <w:bottom w:w="28" w:type="dxa"/>
                <w:right w:w="28" w:type="dxa"/>
              </w:tblCellMar>
            </w:tblPr>
            <w:tblGrid>
              <w:gridCol w:w="2566"/>
            </w:tblGrid>
            <w:tr>
              <w:trPr/>
              <w:tc>
                <w:tcPr>
                  <w:tcW w:w="2566" w:type="dxa"/>
                  <w:tcBorders/>
                  <w:vAlign w:val="center"/>
                </w:tcPr>
                <w:p>
                  <w:pPr>
                    <w:pStyle w:val="TableContents"/>
                    <w:bidi w:val="0"/>
                    <w:spacing w:before="0" w:after="0"/>
                    <w:jc w:val="left"/>
                    <w:rPr/>
                  </w:pPr>
                  <w:r>
                    <w:rPr/>
                    <w:t>Montanova Capital, LLC</w:t>
                  </w:r>
                </w:p>
              </w:tc>
            </w:tr>
          </w:tbl>
          <w:p>
            <w:pPr>
              <w:pStyle w:val="TableContents"/>
              <w:bidi w:val="0"/>
              <w:spacing w:before="0" w:after="283"/>
              <w:jc w:val="left"/>
              <w:rPr/>
            </w:pPr>
            <w:r>
              <w:rPr/>
            </w:r>
          </w:p>
        </w:tc>
        <w:tc>
          <w:tcPr>
            <w:tcW w:w="27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Andrew Nathanson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Andrew Nathanson, General Counsel and Chief Compliance Officer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08/21/2026</w:t>
                  </w:r>
                </w:p>
              </w:tc>
            </w:tr>
          </w:tbl>
          <w:p>
            <w:pPr>
              <w:pStyle w:val="TableContents"/>
              <w:bidi w:val="0"/>
              <w:spacing w:before="0" w:after="283"/>
              <w:jc w:val="left"/>
              <w:rPr/>
            </w:pPr>
            <w:r>
              <w:rPr/>
            </w:r>
          </w:p>
        </w:tc>
        <w:tc>
          <w:tcPr>
            <w:tcW w:w="4266" w:type="dxa"/>
            <w:tcBorders/>
            <w:vAlign w:val="center"/>
          </w:tcPr>
          <w:p>
            <w:pPr>
              <w:pStyle w:val="TableContents"/>
              <w:bidi w:val="0"/>
              <w:spacing w:before="0" w:after="283"/>
              <w:jc w:val="left"/>
              <w:rPr>
                <w:sz w:val="4"/>
                <w:szCs w:val="4"/>
              </w:rPr>
            </w:pPr>
            <w:r>
              <w:rPr>
                <w:sz w:val="4"/>
                <w:szCs w:val="4"/>
              </w:rPr>
            </w:r>
          </w:p>
        </w:tc>
      </w:tr>
    </w:tbl>
    <w:tbl>
      <w:tblPr>
        <w:tblW w:w="5482" w:type="dxa"/>
        <w:jc w:val="left"/>
        <w:tblInd w:w="0" w:type="dxa"/>
        <w:tblLayout w:type="fixed"/>
        <w:tblCellMar>
          <w:top w:w="28" w:type="dxa"/>
          <w:left w:w="28" w:type="dxa"/>
          <w:bottom w:w="28" w:type="dxa"/>
          <w:right w:w="28" w:type="dxa"/>
        </w:tblCellMar>
      </w:tblPr>
      <w:tblGrid>
        <w:gridCol w:w="2741"/>
        <w:gridCol w:w="2741"/>
      </w:tblGrid>
      <w:tr>
        <w:trPr/>
        <w:tc>
          <w:tcPr>
            <w:tcW w:w="2741" w:type="dxa"/>
            <w:tcBorders/>
            <w:vAlign w:val="center"/>
          </w:tcPr>
          <w:p>
            <w:pPr>
              <w:pStyle w:val="TableContents"/>
              <w:bidi w:val="0"/>
              <w:spacing w:before="0" w:after="0"/>
              <w:jc w:val="left"/>
              <w:rPr/>
            </w:pPr>
            <w:r>
              <w:rPr/>
              <w:t> </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0"/>
                    <w:jc w:val="left"/>
                    <w:rPr/>
                  </w:pPr>
                  <w:r>
                    <w:rPr/>
                    <w:t>Averill Master Fund, Ltd.</w:t>
                  </w:r>
                </w:p>
              </w:tc>
            </w:tr>
          </w:tbl>
          <w:p>
            <w:pPr>
              <w:pStyle w:val="TableContents"/>
              <w:bidi w:val="0"/>
              <w:spacing w:before="0" w:after="283"/>
              <w:jc w:val="left"/>
              <w:rPr/>
            </w:pPr>
            <w:r>
              <w:rPr/>
            </w:r>
          </w:p>
        </w:tc>
        <w:tc>
          <w:tcPr>
            <w:tcW w:w="274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8"/>
        <w:gridCol w:w="4287"/>
      </w:tblGrid>
      <w:tr>
        <w:trPr/>
        <w:tc>
          <w:tcPr>
            <w:tcW w:w="59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Andrew Nathanson</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Andrew Nathanson, Authorized Signatory</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08/21/2026</w:t>
                  </w:r>
                </w:p>
              </w:tc>
            </w:tr>
          </w:tbl>
          <w:p>
            <w:pPr>
              <w:pStyle w:val="TableContents"/>
              <w:bidi w:val="0"/>
              <w:spacing w:before="0" w:after="283"/>
              <w:jc w:val="left"/>
              <w:rPr/>
            </w:pPr>
            <w:r>
              <w:rPr/>
            </w:r>
          </w:p>
        </w:tc>
        <w:tc>
          <w:tcPr>
            <w:tcW w:w="4287" w:type="dxa"/>
            <w:tcBorders/>
            <w:vAlign w:val="center"/>
          </w:tcPr>
          <w:p>
            <w:pPr>
              <w:pStyle w:val="TableContents"/>
              <w:bidi w:val="0"/>
              <w:spacing w:before="0" w:after="283"/>
              <w:jc w:val="left"/>
              <w:rPr>
                <w:sz w:val="4"/>
                <w:szCs w:val="4"/>
              </w:rPr>
            </w:pPr>
            <w:r>
              <w:rPr>
                <w:sz w:val="4"/>
                <w:szCs w:val="4"/>
              </w:rPr>
            </w:r>
          </w:p>
        </w:tc>
      </w:tr>
    </w:tbl>
    <w:tbl>
      <w:tblPr>
        <w:tblW w:w="7184" w:type="dxa"/>
        <w:jc w:val="left"/>
        <w:tblInd w:w="0" w:type="dxa"/>
        <w:tblLayout w:type="fixed"/>
        <w:tblCellMar>
          <w:top w:w="28" w:type="dxa"/>
          <w:left w:w="28" w:type="dxa"/>
          <w:bottom w:w="28" w:type="dxa"/>
          <w:right w:w="28" w:type="dxa"/>
        </w:tblCellMar>
      </w:tblPr>
      <w:tblGrid>
        <w:gridCol w:w="3592"/>
        <w:gridCol w:w="3592"/>
      </w:tblGrid>
      <w:tr>
        <w:trPr/>
        <w:tc>
          <w:tcPr>
            <w:tcW w:w="3592" w:type="dxa"/>
            <w:tcBorders/>
            <w:vAlign w:val="center"/>
          </w:tcPr>
          <w:p>
            <w:pPr>
              <w:pStyle w:val="TableContents"/>
              <w:bidi w:val="0"/>
              <w:spacing w:before="0" w:after="0"/>
              <w:jc w:val="left"/>
              <w:rPr/>
            </w:pPr>
            <w:r>
              <w:rPr/>
              <w:t> </w:t>
            </w:r>
          </w:p>
          <w:tbl>
            <w:tblPr>
              <w:tblW w:w="3481" w:type="dxa"/>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0"/>
                    <w:jc w:val="left"/>
                    <w:rPr/>
                  </w:pPr>
                  <w:r>
                    <w:rPr/>
                    <w:t>Averill Madison Master Fund, Ltd.</w:t>
                  </w:r>
                </w:p>
              </w:tc>
            </w:tr>
          </w:tbl>
          <w:p>
            <w:pPr>
              <w:pStyle w:val="TableContents"/>
              <w:bidi w:val="0"/>
              <w:spacing w:before="0" w:after="283"/>
              <w:jc w:val="left"/>
              <w:rPr/>
            </w:pPr>
            <w:r>
              <w:rPr/>
            </w:r>
          </w:p>
        </w:tc>
        <w:tc>
          <w:tcPr>
            <w:tcW w:w="35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8"/>
        <w:gridCol w:w="4287"/>
      </w:tblGrid>
      <w:tr>
        <w:trPr/>
        <w:tc>
          <w:tcPr>
            <w:tcW w:w="59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Andrew Nathanson</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Andrew Nathanson, Authorized Signatory</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08/21/2026</w:t>
                  </w:r>
                </w:p>
              </w:tc>
            </w:tr>
          </w:tbl>
          <w:p>
            <w:pPr>
              <w:pStyle w:val="TableContents"/>
              <w:bidi w:val="0"/>
              <w:spacing w:before="0" w:after="283"/>
              <w:jc w:val="left"/>
              <w:rPr/>
            </w:pPr>
            <w:r>
              <w:rPr/>
            </w:r>
          </w:p>
        </w:tc>
        <w:tc>
          <w:tcPr>
            <w:tcW w:w="4287" w:type="dxa"/>
            <w:tcBorders/>
            <w:vAlign w:val="center"/>
          </w:tcPr>
          <w:p>
            <w:pPr>
              <w:pStyle w:val="TableContents"/>
              <w:bidi w:val="0"/>
              <w:spacing w:before="0" w:after="283"/>
              <w:jc w:val="left"/>
              <w:rPr>
                <w:sz w:val="4"/>
                <w:szCs w:val="4"/>
              </w:rPr>
            </w:pPr>
            <w:r>
              <w:rPr>
                <w:sz w:val="4"/>
                <w:szCs w:val="4"/>
              </w:rPr>
            </w:r>
          </w:p>
        </w:tc>
      </w:tr>
    </w:tbl>
    <w:tbl>
      <w:tblPr>
        <w:tblW w:w="3278" w:type="dxa"/>
        <w:jc w:val="left"/>
        <w:tblInd w:w="0" w:type="dxa"/>
        <w:tblLayout w:type="fixed"/>
        <w:tblCellMar>
          <w:top w:w="28" w:type="dxa"/>
          <w:left w:w="28" w:type="dxa"/>
          <w:bottom w:w="28" w:type="dxa"/>
          <w:right w:w="28" w:type="dxa"/>
        </w:tblCellMar>
      </w:tblPr>
      <w:tblGrid>
        <w:gridCol w:w="1639"/>
        <w:gridCol w:w="1639"/>
      </w:tblGrid>
      <w:tr>
        <w:trPr/>
        <w:tc>
          <w:tcPr>
            <w:tcW w:w="1639" w:type="dxa"/>
            <w:tcBorders/>
            <w:vAlign w:val="center"/>
          </w:tcPr>
          <w:p>
            <w:pPr>
              <w:pStyle w:val="TableContents"/>
              <w:bidi w:val="0"/>
              <w:spacing w:before="0" w:after="0"/>
              <w:jc w:val="left"/>
              <w:rPr/>
            </w:pPr>
            <w:r>
              <w:rPr/>
              <w:t> </w:t>
            </w:r>
          </w:p>
          <w:tbl>
            <w:tblPr>
              <w:tblW w:w="1516" w:type="dxa"/>
              <w:jc w:val="left"/>
              <w:tblInd w:w="0" w:type="dxa"/>
              <w:tblLayout w:type="fixed"/>
              <w:tblCellMar>
                <w:top w:w="28" w:type="dxa"/>
                <w:left w:w="28" w:type="dxa"/>
                <w:bottom w:w="28" w:type="dxa"/>
                <w:right w:w="28" w:type="dxa"/>
              </w:tblCellMar>
            </w:tblPr>
            <w:tblGrid>
              <w:gridCol w:w="1516"/>
            </w:tblGrid>
            <w:tr>
              <w:trPr/>
              <w:tc>
                <w:tcPr>
                  <w:tcW w:w="1516" w:type="dxa"/>
                  <w:tcBorders/>
                  <w:vAlign w:val="center"/>
                </w:tcPr>
                <w:p>
                  <w:pPr>
                    <w:pStyle w:val="TableContents"/>
                    <w:bidi w:val="0"/>
                    <w:spacing w:before="0" w:after="0"/>
                    <w:jc w:val="left"/>
                    <w:rPr/>
                  </w:pPr>
                  <w:r>
                    <w:rPr/>
                    <w:t>Aaron Cowen</w:t>
                  </w:r>
                </w:p>
              </w:tc>
            </w:tr>
          </w:tbl>
          <w:p>
            <w:pPr>
              <w:pStyle w:val="TableContents"/>
              <w:bidi w:val="0"/>
              <w:spacing w:before="0" w:after="283"/>
              <w:jc w:val="left"/>
              <w:rPr/>
            </w:pPr>
            <w:r>
              <w:rPr/>
            </w:r>
          </w:p>
        </w:tc>
        <w:tc>
          <w:tcPr>
            <w:tcW w:w="16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8"/>
        <w:gridCol w:w="4437"/>
      </w:tblGrid>
      <w:tr>
        <w:trPr/>
        <w:tc>
          <w:tcPr>
            <w:tcW w:w="57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Aaron Cowen</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Aaron Cowen</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08/21/2026</w:t>
                  </w:r>
                </w:p>
              </w:tc>
            </w:tr>
          </w:tbl>
          <w:p>
            <w:pPr>
              <w:pStyle w:val="TableContents"/>
              <w:bidi w:val="0"/>
              <w:spacing w:before="0" w:after="283"/>
              <w:jc w:val="left"/>
              <w:rPr/>
            </w:pPr>
            <w:r>
              <w:rPr/>
            </w:r>
          </w:p>
        </w:tc>
        <w:tc>
          <w:tcPr>
            <w:tcW w:w="443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26" w:name="mscheduleiiia.htm"/>
      <w:bookmarkStart w:id="27" w:name="ksmscheduleiiia"/>
      <w:bookmarkEnd w:id="26"/>
      <w:bookmarkEnd w:id="27"/>
      <w:r>
        <w:rPr>
          <w:rFonts w:ascii="Times New Roman" w:hAnsi="Times New Roman"/>
          <w:b/>
          <w:color w:val="000000"/>
          <w:sz w:val="20"/>
        </w:rPr>
        <w:t>Schedule III</w:t>
      </w:r>
      <w:r>
        <w:rPr/>
        <w:t xml:space="preserve"> </w:t>
      </w:r>
      <w:r>
        <w:br w:type="page"/>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Set forth below is the name, business address, and present principal occupation of each of the executive officers and directors of each of the Funds and Montanova Capital. Sherri Fleming is a citizen of Canada. Each other such person is a citizen of the United States.</w:t>
      </w:r>
    </w:p>
    <w:p>
      <w:pPr>
        <w:pStyle w:val="TextBody"/>
        <w:bidi w:val="0"/>
        <w:spacing w:before="0" w:after="0"/>
        <w:jc w:val="left"/>
        <w:rPr/>
      </w:pPr>
      <w:r>
        <w:rPr/>
        <w:t xml:space="preserve">  </w:t>
      </w:r>
    </w:p>
    <w:p>
      <w:pPr>
        <w:pStyle w:val="TextBody"/>
        <w:bidi w:val="0"/>
        <w:spacing w:before="0" w:after="0"/>
        <w:jc w:val="left"/>
        <w:rPr/>
      </w:pPr>
      <w:r>
        <w:rPr>
          <w:rFonts w:ascii="Times New Roman" w:hAnsi="Times New Roman"/>
          <w:color w:val="000000"/>
          <w:sz w:val="20"/>
          <w:u w:val="single"/>
        </w:rPr>
        <w:t>Averill Master Fund, Ltd.</w:t>
      </w:r>
      <w:r>
        <w:rPr/>
        <w:t xml:space="preserve"> </w:t>
      </w:r>
    </w:p>
    <w:tbl>
      <w:tblPr>
        <w:tblW w:w="10205" w:type="dxa"/>
        <w:jc w:val="left"/>
        <w:tblInd w:w="-15" w:type="dxa"/>
        <w:tblLayout w:type="fixed"/>
        <w:tblCellMar>
          <w:top w:w="45" w:type="dxa"/>
          <w:left w:w="45" w:type="dxa"/>
          <w:bottom w:w="0" w:type="dxa"/>
          <w:right w:w="0" w:type="dxa"/>
        </w:tblCellMar>
      </w:tblPr>
      <w:tblGrid>
        <w:gridCol w:w="1316"/>
        <w:gridCol w:w="3533"/>
        <w:gridCol w:w="5356"/>
      </w:tblGrid>
      <w:tr>
        <w:trPr/>
        <w:tc>
          <w:tcPr>
            <w:tcW w:w="1316" w:type="dxa"/>
            <w:tcBorders>
              <w:top w:val="single" w:sz="12" w:space="0" w:color="000000"/>
              <w:left w:val="single" w:sz="12" w:space="0" w:color="000000"/>
            </w:tcBorders>
            <w:vAlign w:val="center"/>
          </w:tcPr>
          <w:p>
            <w:pPr>
              <w:pStyle w:val="TableContents"/>
              <w:bidi w:val="0"/>
              <w:spacing w:before="0" w:after="0"/>
              <w:jc w:val="left"/>
              <w:rPr/>
            </w:pPr>
            <w:r>
              <w:rPr>
                <w:rFonts w:ascii="Times New Roman" w:hAnsi="Times New Roman"/>
                <w:color w:val="000000"/>
                <w:sz w:val="20"/>
                <w:u w:val="single"/>
              </w:rPr>
              <w:t>Name</w:t>
            </w:r>
            <w:r>
              <w:rPr/>
              <w:t xml:space="preserve"> </w:t>
            </w:r>
          </w:p>
        </w:tc>
        <w:tc>
          <w:tcPr>
            <w:tcW w:w="3533" w:type="dxa"/>
            <w:tcBorders>
              <w:top w:val="single" w:sz="12" w:space="0" w:color="000000"/>
              <w:left w:val="single" w:sz="12" w:space="0" w:color="000000"/>
            </w:tcBorders>
            <w:vAlign w:val="center"/>
          </w:tcPr>
          <w:p>
            <w:pPr>
              <w:pStyle w:val="TableContents"/>
              <w:bidi w:val="0"/>
              <w:spacing w:before="0" w:after="0"/>
              <w:jc w:val="left"/>
              <w:rPr/>
            </w:pPr>
            <w:r>
              <w:rPr>
                <w:rFonts w:ascii="Times New Roman" w:hAnsi="Times New Roman"/>
                <w:color w:val="000000"/>
                <w:sz w:val="20"/>
                <w:u w:val="single"/>
              </w:rPr>
              <w:t>Present Business Address</w:t>
            </w:r>
            <w:r>
              <w:rPr/>
              <w:t xml:space="preserve"> </w:t>
            </w:r>
          </w:p>
        </w:tc>
        <w:tc>
          <w:tcPr>
            <w:tcW w:w="5356" w:type="dxa"/>
            <w:tcBorders>
              <w:top w:val="single" w:sz="12" w:space="0" w:color="000000"/>
              <w:left w:val="single" w:sz="12" w:space="0" w:color="000000"/>
              <w:right w:val="single" w:sz="12" w:space="0" w:color="000000"/>
            </w:tcBorders>
            <w:tcMar>
              <w:right w:w="45" w:type="dxa"/>
            </w:tcMar>
            <w:vAlign w:val="center"/>
          </w:tcPr>
          <w:p>
            <w:pPr>
              <w:pStyle w:val="TableContents"/>
              <w:bidi w:val="0"/>
              <w:spacing w:before="0" w:after="0"/>
              <w:jc w:val="left"/>
              <w:rPr/>
            </w:pPr>
            <w:r>
              <w:rPr>
                <w:rFonts w:ascii="Times New Roman" w:hAnsi="Times New Roman"/>
                <w:color w:val="000000"/>
                <w:sz w:val="20"/>
                <w:u w:val="single"/>
              </w:rPr>
              <w:t>Present Principal Occupation</w:t>
            </w:r>
            <w:r>
              <w:rPr/>
              <w:t xml:space="preserve"> </w:t>
            </w:r>
          </w:p>
        </w:tc>
      </w:tr>
      <w:tr>
        <w:trPr/>
        <w:tc>
          <w:tcPr>
            <w:tcW w:w="10205" w:type="dxa"/>
            <w:gridSpan w:val="3"/>
            <w:tcBorders>
              <w:top w:val="single" w:sz="12" w:space="0" w:color="000000"/>
              <w:left w:val="single" w:sz="12" w:space="0" w:color="000000"/>
              <w:right w:val="single" w:sz="12" w:space="0" w:color="000000"/>
            </w:tcBorders>
            <w:tcMar>
              <w:right w:w="45" w:type="dxa"/>
            </w:tcMar>
            <w:vAlign w:val="center"/>
          </w:tcPr>
          <w:p>
            <w:pPr>
              <w:pStyle w:val="TableContents"/>
              <w:bidi w:val="0"/>
              <w:spacing w:before="0" w:after="0"/>
              <w:jc w:val="left"/>
              <w:rPr/>
            </w:pPr>
            <w:r>
              <w:rPr>
                <w:rFonts w:ascii="Times New Roman" w:hAnsi="Times New Roman"/>
                <w:color w:val="000000"/>
                <w:sz w:val="20"/>
              </w:rPr>
              <w:t>Directors:</w:t>
            </w:r>
            <w:r>
              <w:rPr/>
              <w:t xml:space="preserve"> </w:t>
            </w:r>
          </w:p>
        </w:tc>
      </w:tr>
      <w:tr>
        <w:trPr/>
        <w:tc>
          <w:tcPr>
            <w:tcW w:w="1316" w:type="dxa"/>
            <w:tcBorders>
              <w:top w:val="single" w:sz="12" w:space="0" w:color="000000"/>
              <w:left w:val="single" w:sz="12" w:space="0" w:color="000000"/>
            </w:tcBorders>
            <w:vAlign w:val="center"/>
          </w:tcPr>
          <w:p>
            <w:pPr>
              <w:pStyle w:val="TableContents"/>
              <w:bidi w:val="0"/>
              <w:spacing w:before="0" w:after="0"/>
              <w:jc w:val="left"/>
              <w:rPr/>
            </w:pPr>
            <w:r>
              <w:rPr>
                <w:rFonts w:ascii="Times New Roman" w:hAnsi="Times New Roman"/>
                <w:color w:val="000000"/>
                <w:sz w:val="20"/>
              </w:rPr>
              <w:t>Sherri Fleming</w:t>
            </w:r>
            <w:r>
              <w:rPr/>
              <w:t xml:space="preserve"> </w:t>
            </w:r>
          </w:p>
        </w:tc>
        <w:tc>
          <w:tcPr>
            <w:tcW w:w="3533" w:type="dxa"/>
            <w:tcBorders>
              <w:top w:val="single" w:sz="12" w:space="0" w:color="000000"/>
              <w:left w:val="single" w:sz="12" w:space="0" w:color="000000"/>
            </w:tcBorders>
            <w:vAlign w:val="center"/>
          </w:tcPr>
          <w:p>
            <w:pPr>
              <w:pStyle w:val="TableContents"/>
              <w:bidi w:val="0"/>
              <w:spacing w:before="0" w:after="0"/>
              <w:jc w:val="left"/>
              <w:rPr/>
            </w:pPr>
            <w:r>
              <w:rPr>
                <w:rFonts w:ascii="Times New Roman" w:hAnsi="Times New Roman"/>
                <w:color w:val="000000"/>
                <w:sz w:val="20"/>
              </w:rPr>
              <w:t>Maples Fiduciary Services (Cayman) Limited</w:t>
            </w:r>
            <w:r>
              <w:rPr/>
              <w:t xml:space="preserve"> </w:t>
            </w:r>
          </w:p>
          <w:p>
            <w:pPr>
              <w:pStyle w:val="TableContents"/>
              <w:bidi w:val="0"/>
              <w:spacing w:before="0" w:after="0"/>
              <w:jc w:val="left"/>
              <w:rPr/>
            </w:pPr>
            <w:r>
              <w:rPr>
                <w:rFonts w:ascii="Times New Roman" w:hAnsi="Times New Roman"/>
                <w:color w:val="000000"/>
                <w:sz w:val="20"/>
              </w:rPr>
              <w:t>c/o PO Box 309</w:t>
            </w:r>
            <w:r>
              <w:rPr/>
              <w:t xml:space="preserve"> </w:t>
            </w:r>
          </w:p>
          <w:p>
            <w:pPr>
              <w:pStyle w:val="TableContents"/>
              <w:bidi w:val="0"/>
              <w:spacing w:before="0" w:after="0"/>
              <w:jc w:val="left"/>
              <w:rPr/>
            </w:pPr>
            <w:r>
              <w:rPr>
                <w:rFonts w:ascii="Times New Roman" w:hAnsi="Times New Roman"/>
                <w:color w:val="000000"/>
                <w:sz w:val="20"/>
              </w:rPr>
              <w:t>Ugland House</w:t>
            </w:r>
            <w:r>
              <w:rPr/>
              <w:t xml:space="preserve"> </w:t>
            </w:r>
          </w:p>
          <w:p>
            <w:pPr>
              <w:pStyle w:val="TableContents"/>
              <w:bidi w:val="0"/>
              <w:spacing w:before="0" w:after="0"/>
              <w:jc w:val="left"/>
              <w:rPr/>
            </w:pPr>
            <w:r>
              <w:rPr>
                <w:rFonts w:ascii="Times New Roman" w:hAnsi="Times New Roman"/>
                <w:color w:val="000000"/>
                <w:sz w:val="20"/>
              </w:rPr>
              <w:t>Grand Cayman, KY1-1104</w:t>
            </w:r>
            <w:r>
              <w:rPr/>
              <w:t xml:space="preserve"> </w:t>
            </w:r>
          </w:p>
          <w:p>
            <w:pPr>
              <w:pStyle w:val="TableContents"/>
              <w:bidi w:val="0"/>
              <w:spacing w:before="0" w:after="0"/>
              <w:jc w:val="left"/>
              <w:rPr/>
            </w:pPr>
            <w:r>
              <w:rPr>
                <w:rFonts w:ascii="Times New Roman" w:hAnsi="Times New Roman"/>
                <w:color w:val="000000"/>
                <w:sz w:val="20"/>
              </w:rPr>
              <w:t>Cayman Islands</w:t>
            </w:r>
            <w:r>
              <w:rPr/>
              <w:t xml:space="preserve"> </w:t>
            </w:r>
          </w:p>
        </w:tc>
        <w:tc>
          <w:tcPr>
            <w:tcW w:w="5356" w:type="dxa"/>
            <w:tcBorders>
              <w:top w:val="single" w:sz="12" w:space="0" w:color="000000"/>
              <w:left w:val="single" w:sz="12" w:space="0" w:color="000000"/>
              <w:right w:val="single" w:sz="12" w:space="0" w:color="000000"/>
            </w:tcBorders>
            <w:tcMar>
              <w:right w:w="45" w:type="dxa"/>
            </w:tcMar>
            <w:vAlign w:val="center"/>
          </w:tcPr>
          <w:p>
            <w:pPr>
              <w:pStyle w:val="TableContents"/>
              <w:bidi w:val="0"/>
              <w:spacing w:before="0" w:after="0"/>
              <w:jc w:val="left"/>
              <w:rPr/>
            </w:pPr>
            <w:r>
              <w:rPr>
                <w:rFonts w:ascii="Times New Roman" w:hAnsi="Times New Roman"/>
                <w:color w:val="000000"/>
                <w:sz w:val="20"/>
              </w:rPr>
              <w:t>Vice President of Maples Fiduciary Services (Cayman) Limited</w:t>
            </w:r>
            <w:r>
              <w:rPr/>
              <w:t xml:space="preserve"> </w:t>
            </w:r>
          </w:p>
        </w:tc>
      </w:tr>
      <w:tr>
        <w:trPr/>
        <w:tc>
          <w:tcPr>
            <w:tcW w:w="1316" w:type="dxa"/>
            <w:tcBorders>
              <w:top w:val="single" w:sz="12" w:space="0" w:color="000000"/>
              <w:left w:val="single" w:sz="12" w:space="0" w:color="000000"/>
            </w:tcBorders>
            <w:vAlign w:val="center"/>
          </w:tcPr>
          <w:p>
            <w:pPr>
              <w:pStyle w:val="TableContents"/>
              <w:bidi w:val="0"/>
              <w:spacing w:before="0" w:after="0"/>
              <w:jc w:val="left"/>
              <w:rPr/>
            </w:pPr>
            <w:r>
              <w:rPr>
                <w:rFonts w:ascii="Times New Roman" w:hAnsi="Times New Roman"/>
                <w:color w:val="000000"/>
                <w:sz w:val="20"/>
              </w:rPr>
              <w:t>William Shaw</w:t>
            </w:r>
            <w:r>
              <w:rPr/>
              <w:t xml:space="preserve"> </w:t>
            </w:r>
          </w:p>
        </w:tc>
        <w:tc>
          <w:tcPr>
            <w:tcW w:w="3533" w:type="dxa"/>
            <w:tcBorders>
              <w:top w:val="single" w:sz="12" w:space="0" w:color="000000"/>
              <w:left w:val="single" w:sz="12" w:space="0" w:color="000000"/>
            </w:tcBorders>
            <w:vAlign w:val="center"/>
          </w:tcPr>
          <w:p>
            <w:pPr>
              <w:pStyle w:val="TableContents"/>
              <w:bidi w:val="0"/>
              <w:spacing w:before="0" w:after="0"/>
              <w:jc w:val="left"/>
              <w:rPr/>
            </w:pPr>
            <w:r>
              <w:rPr>
                <w:rFonts w:ascii="Times New Roman" w:hAnsi="Times New Roman"/>
                <w:color w:val="000000"/>
                <w:sz w:val="20"/>
              </w:rPr>
              <w:t>Maples Fiduciary Services (Cayman) Limited</w:t>
            </w:r>
            <w:r>
              <w:rPr/>
              <w:t xml:space="preserve"> </w:t>
            </w:r>
          </w:p>
          <w:p>
            <w:pPr>
              <w:pStyle w:val="TableContents"/>
              <w:bidi w:val="0"/>
              <w:spacing w:before="0" w:after="0"/>
              <w:jc w:val="left"/>
              <w:rPr/>
            </w:pPr>
            <w:r>
              <w:rPr>
                <w:rFonts w:ascii="Times New Roman" w:hAnsi="Times New Roman"/>
                <w:color w:val="000000"/>
                <w:sz w:val="20"/>
              </w:rPr>
              <w:t>c/o PO Box 309</w:t>
            </w:r>
            <w:r>
              <w:rPr/>
              <w:t xml:space="preserve"> </w:t>
            </w:r>
          </w:p>
          <w:p>
            <w:pPr>
              <w:pStyle w:val="TableContents"/>
              <w:bidi w:val="0"/>
              <w:spacing w:before="0" w:after="0"/>
              <w:jc w:val="left"/>
              <w:rPr/>
            </w:pPr>
            <w:r>
              <w:rPr>
                <w:rFonts w:ascii="Times New Roman" w:hAnsi="Times New Roman"/>
                <w:color w:val="000000"/>
                <w:sz w:val="20"/>
              </w:rPr>
              <w:t>Ugland House</w:t>
            </w:r>
            <w:r>
              <w:rPr/>
              <w:t xml:space="preserve"> </w:t>
            </w:r>
          </w:p>
          <w:p>
            <w:pPr>
              <w:pStyle w:val="TableContents"/>
              <w:bidi w:val="0"/>
              <w:spacing w:before="0" w:after="0"/>
              <w:jc w:val="left"/>
              <w:rPr/>
            </w:pPr>
            <w:r>
              <w:rPr>
                <w:rFonts w:ascii="Times New Roman" w:hAnsi="Times New Roman"/>
                <w:color w:val="000000"/>
                <w:sz w:val="20"/>
              </w:rPr>
              <w:t>Grand Cayman, KY1-1104</w:t>
            </w:r>
            <w:r>
              <w:rPr/>
              <w:t xml:space="preserve"> </w:t>
            </w:r>
          </w:p>
          <w:p>
            <w:pPr>
              <w:pStyle w:val="TableContents"/>
              <w:bidi w:val="0"/>
              <w:spacing w:before="0" w:after="0"/>
              <w:jc w:val="left"/>
              <w:rPr/>
            </w:pPr>
            <w:r>
              <w:rPr>
                <w:rFonts w:ascii="Times New Roman" w:hAnsi="Times New Roman"/>
                <w:color w:val="000000"/>
                <w:sz w:val="20"/>
              </w:rPr>
              <w:t>Cayman Islands</w:t>
            </w:r>
            <w:r>
              <w:rPr/>
              <w:t xml:space="preserve"> </w:t>
            </w:r>
          </w:p>
        </w:tc>
        <w:tc>
          <w:tcPr>
            <w:tcW w:w="5356" w:type="dxa"/>
            <w:tcBorders>
              <w:top w:val="single" w:sz="12" w:space="0" w:color="000000"/>
              <w:left w:val="single" w:sz="12" w:space="0" w:color="000000"/>
              <w:right w:val="single" w:sz="12" w:space="0" w:color="000000"/>
            </w:tcBorders>
            <w:tcMar>
              <w:right w:w="45" w:type="dxa"/>
            </w:tcMar>
            <w:vAlign w:val="center"/>
          </w:tcPr>
          <w:p>
            <w:pPr>
              <w:pStyle w:val="TableContents"/>
              <w:bidi w:val="0"/>
              <w:spacing w:before="0" w:after="0"/>
              <w:jc w:val="left"/>
              <w:rPr/>
            </w:pPr>
            <w:r>
              <w:rPr>
                <w:rFonts w:ascii="Times New Roman" w:hAnsi="Times New Roman"/>
                <w:color w:val="000000"/>
                <w:sz w:val="20"/>
              </w:rPr>
              <w:t>Senior Vice President of Maples Fiduciary Services (Cayman) Limited</w:t>
            </w:r>
            <w:r>
              <w:rPr/>
              <w:t xml:space="preserve"> </w:t>
            </w:r>
          </w:p>
        </w:tc>
      </w:tr>
      <w:tr>
        <w:trPr/>
        <w:tc>
          <w:tcPr>
            <w:tcW w:w="1316" w:type="dxa"/>
            <w:tcBorders>
              <w:top w:val="single" w:sz="12" w:space="0" w:color="000000"/>
              <w:left w:val="single" w:sz="12" w:space="0" w:color="000000"/>
              <w:bottom w:val="single" w:sz="12" w:space="0" w:color="000000"/>
            </w:tcBorders>
            <w:tcMar>
              <w:bottom w:w="45" w:type="dxa"/>
            </w:tcMar>
            <w:vAlign w:val="center"/>
          </w:tcPr>
          <w:p>
            <w:pPr>
              <w:pStyle w:val="TableContents"/>
              <w:bidi w:val="0"/>
              <w:spacing w:before="0" w:after="0"/>
              <w:jc w:val="left"/>
              <w:rPr/>
            </w:pPr>
            <w:r>
              <w:rPr>
                <w:rFonts w:ascii="Times New Roman" w:hAnsi="Times New Roman"/>
                <w:color w:val="000000"/>
                <w:sz w:val="20"/>
              </w:rPr>
              <w:t>Aaron Cowen</w:t>
            </w:r>
            <w:r>
              <w:rPr/>
              <w:t xml:space="preserve"> </w:t>
            </w:r>
          </w:p>
        </w:tc>
        <w:tc>
          <w:tcPr>
            <w:tcW w:w="3533" w:type="dxa"/>
            <w:tcBorders>
              <w:top w:val="single" w:sz="12" w:space="0" w:color="000000"/>
              <w:left w:val="single" w:sz="12" w:space="0" w:color="000000"/>
              <w:bottom w:val="single" w:sz="12" w:space="0" w:color="000000"/>
            </w:tcBorders>
            <w:tcMar>
              <w:bottom w:w="45" w:type="dxa"/>
            </w:tcMar>
            <w:vAlign w:val="center"/>
          </w:tcPr>
          <w:p>
            <w:pPr>
              <w:pStyle w:val="TableContents"/>
              <w:bidi w:val="0"/>
              <w:spacing w:before="0" w:after="0"/>
              <w:jc w:val="left"/>
              <w:rPr/>
            </w:pPr>
            <w:r>
              <w:rPr>
                <w:rFonts w:ascii="Times New Roman" w:hAnsi="Times New Roman"/>
                <w:color w:val="000000"/>
                <w:sz w:val="20"/>
              </w:rPr>
              <w:t>c/o Montanova Capital, LLC</w:t>
              <w:br/>
              <w:t>11 E 26th Street, 16th Floor</w:t>
              <w:br/>
              <w:t>New York, NY 10010</w:t>
            </w:r>
            <w:r>
              <w:rPr/>
              <w:t xml:space="preserve"> </w:t>
            </w:r>
          </w:p>
        </w:tc>
        <w:tc>
          <w:tcPr>
            <w:tcW w:w="5356" w:type="dxa"/>
            <w:tcBorders>
              <w:top w:val="single" w:sz="12" w:space="0" w:color="000000"/>
              <w:left w:val="single" w:sz="12" w:space="0" w:color="000000"/>
              <w:bottom w:val="single" w:sz="12" w:space="0" w:color="000000"/>
              <w:right w:val="single" w:sz="12" w:space="0" w:color="000000"/>
            </w:tcBorders>
            <w:tcMar>
              <w:bottom w:w="45" w:type="dxa"/>
              <w:right w:w="45" w:type="dxa"/>
            </w:tcMar>
            <w:vAlign w:val="center"/>
          </w:tcPr>
          <w:p>
            <w:pPr>
              <w:pStyle w:val="TableContents"/>
              <w:bidi w:val="0"/>
              <w:spacing w:before="0" w:after="0"/>
              <w:jc w:val="left"/>
              <w:rPr/>
            </w:pPr>
            <w:r>
              <w:rPr>
                <w:rFonts w:ascii="Times New Roman" w:hAnsi="Times New Roman"/>
                <w:color w:val="000000"/>
                <w:sz w:val="20"/>
              </w:rPr>
              <w:t>Managing Member, Montanova Capital, LLC</w:t>
            </w:r>
            <w:r>
              <w:rPr/>
              <w:t xml:space="preserve"> </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rFonts w:ascii="Times New Roman" w:hAnsi="Times New Roman"/>
          <w:color w:val="000000"/>
          <w:sz w:val="20"/>
          <w:u w:val="single"/>
        </w:rPr>
        <w:t>Averill Madison Master Fund, Ltd.</w:t>
      </w:r>
      <w:r>
        <w:rPr/>
        <w:t xml:space="preserve"> </w:t>
      </w:r>
    </w:p>
    <w:tbl>
      <w:tblPr>
        <w:tblW w:w="10205" w:type="dxa"/>
        <w:jc w:val="left"/>
        <w:tblInd w:w="-15" w:type="dxa"/>
        <w:tblLayout w:type="fixed"/>
        <w:tblCellMar>
          <w:top w:w="45" w:type="dxa"/>
          <w:left w:w="45" w:type="dxa"/>
          <w:bottom w:w="0" w:type="dxa"/>
          <w:right w:w="0" w:type="dxa"/>
        </w:tblCellMar>
      </w:tblPr>
      <w:tblGrid>
        <w:gridCol w:w="1316"/>
        <w:gridCol w:w="3533"/>
        <w:gridCol w:w="5356"/>
      </w:tblGrid>
      <w:tr>
        <w:trPr/>
        <w:tc>
          <w:tcPr>
            <w:tcW w:w="1316" w:type="dxa"/>
            <w:tcBorders>
              <w:top w:val="single" w:sz="12" w:space="0" w:color="000000"/>
              <w:left w:val="single" w:sz="12" w:space="0" w:color="000000"/>
            </w:tcBorders>
            <w:vAlign w:val="center"/>
          </w:tcPr>
          <w:p>
            <w:pPr>
              <w:pStyle w:val="TableContents"/>
              <w:bidi w:val="0"/>
              <w:spacing w:before="0" w:after="0"/>
              <w:jc w:val="left"/>
              <w:rPr/>
            </w:pPr>
            <w:r>
              <w:rPr>
                <w:rFonts w:ascii="Times New Roman" w:hAnsi="Times New Roman"/>
                <w:color w:val="000000"/>
                <w:sz w:val="20"/>
                <w:u w:val="single"/>
              </w:rPr>
              <w:t>Name</w:t>
            </w:r>
            <w:r>
              <w:rPr/>
              <w:t xml:space="preserve"> </w:t>
            </w:r>
          </w:p>
        </w:tc>
        <w:tc>
          <w:tcPr>
            <w:tcW w:w="3533" w:type="dxa"/>
            <w:tcBorders>
              <w:top w:val="single" w:sz="12" w:space="0" w:color="000000"/>
              <w:left w:val="single" w:sz="12" w:space="0" w:color="000000"/>
            </w:tcBorders>
            <w:vAlign w:val="center"/>
          </w:tcPr>
          <w:p>
            <w:pPr>
              <w:pStyle w:val="TableContents"/>
              <w:bidi w:val="0"/>
              <w:spacing w:before="0" w:after="0"/>
              <w:jc w:val="left"/>
              <w:rPr/>
            </w:pPr>
            <w:r>
              <w:rPr>
                <w:rFonts w:ascii="Times New Roman" w:hAnsi="Times New Roman"/>
                <w:color w:val="000000"/>
                <w:sz w:val="20"/>
                <w:u w:val="single"/>
              </w:rPr>
              <w:t>Present Business Address</w:t>
            </w:r>
            <w:r>
              <w:rPr/>
              <w:t xml:space="preserve"> </w:t>
            </w:r>
          </w:p>
        </w:tc>
        <w:tc>
          <w:tcPr>
            <w:tcW w:w="5356" w:type="dxa"/>
            <w:tcBorders>
              <w:top w:val="single" w:sz="12" w:space="0" w:color="000000"/>
              <w:left w:val="single" w:sz="12" w:space="0" w:color="000000"/>
              <w:right w:val="single" w:sz="12" w:space="0" w:color="000000"/>
            </w:tcBorders>
            <w:tcMar>
              <w:right w:w="45" w:type="dxa"/>
            </w:tcMar>
            <w:vAlign w:val="center"/>
          </w:tcPr>
          <w:p>
            <w:pPr>
              <w:pStyle w:val="TableContents"/>
              <w:bidi w:val="0"/>
              <w:spacing w:before="0" w:after="0"/>
              <w:jc w:val="left"/>
              <w:rPr/>
            </w:pPr>
            <w:r>
              <w:rPr>
                <w:rFonts w:ascii="Times New Roman" w:hAnsi="Times New Roman"/>
                <w:color w:val="000000"/>
                <w:sz w:val="20"/>
                <w:u w:val="single"/>
              </w:rPr>
              <w:t>Present Principal Occupation</w:t>
            </w:r>
            <w:r>
              <w:rPr/>
              <w:t xml:space="preserve"> </w:t>
            </w:r>
          </w:p>
        </w:tc>
      </w:tr>
      <w:tr>
        <w:trPr/>
        <w:tc>
          <w:tcPr>
            <w:tcW w:w="10205" w:type="dxa"/>
            <w:gridSpan w:val="3"/>
            <w:tcBorders>
              <w:top w:val="single" w:sz="12" w:space="0" w:color="000000"/>
              <w:left w:val="single" w:sz="12" w:space="0" w:color="000000"/>
              <w:right w:val="single" w:sz="12" w:space="0" w:color="000000"/>
            </w:tcBorders>
            <w:tcMar>
              <w:right w:w="45" w:type="dxa"/>
            </w:tcMar>
            <w:vAlign w:val="center"/>
          </w:tcPr>
          <w:p>
            <w:pPr>
              <w:pStyle w:val="TableContents"/>
              <w:bidi w:val="0"/>
              <w:spacing w:before="0" w:after="0"/>
              <w:jc w:val="left"/>
              <w:rPr/>
            </w:pPr>
            <w:r>
              <w:rPr>
                <w:rFonts w:ascii="Times New Roman" w:hAnsi="Times New Roman"/>
                <w:color w:val="000000"/>
                <w:sz w:val="20"/>
              </w:rPr>
              <w:t>Directors:</w:t>
            </w:r>
            <w:r>
              <w:rPr/>
              <w:t xml:space="preserve"> </w:t>
            </w:r>
          </w:p>
        </w:tc>
      </w:tr>
      <w:tr>
        <w:trPr/>
        <w:tc>
          <w:tcPr>
            <w:tcW w:w="1316" w:type="dxa"/>
            <w:tcBorders>
              <w:top w:val="single" w:sz="12" w:space="0" w:color="000000"/>
              <w:left w:val="single" w:sz="12" w:space="0" w:color="000000"/>
            </w:tcBorders>
            <w:vAlign w:val="center"/>
          </w:tcPr>
          <w:p>
            <w:pPr>
              <w:pStyle w:val="TableContents"/>
              <w:bidi w:val="0"/>
              <w:spacing w:before="0" w:after="0"/>
              <w:jc w:val="left"/>
              <w:rPr/>
            </w:pPr>
            <w:r>
              <w:rPr>
                <w:rFonts w:ascii="Times New Roman" w:hAnsi="Times New Roman"/>
                <w:color w:val="000000"/>
                <w:sz w:val="20"/>
              </w:rPr>
              <w:t>Sherri Fleming</w:t>
            </w:r>
            <w:r>
              <w:rPr/>
              <w:t xml:space="preserve"> </w:t>
            </w:r>
          </w:p>
        </w:tc>
        <w:tc>
          <w:tcPr>
            <w:tcW w:w="3533" w:type="dxa"/>
            <w:tcBorders>
              <w:top w:val="single" w:sz="12" w:space="0" w:color="000000"/>
              <w:left w:val="single" w:sz="12" w:space="0" w:color="000000"/>
            </w:tcBorders>
            <w:vAlign w:val="center"/>
          </w:tcPr>
          <w:p>
            <w:pPr>
              <w:pStyle w:val="TableContents"/>
              <w:bidi w:val="0"/>
              <w:spacing w:before="0" w:after="0"/>
              <w:jc w:val="left"/>
              <w:rPr/>
            </w:pPr>
            <w:r>
              <w:rPr>
                <w:rFonts w:ascii="Times New Roman" w:hAnsi="Times New Roman"/>
                <w:color w:val="000000"/>
                <w:sz w:val="20"/>
              </w:rPr>
              <w:t>Maples Fiduciary Services (Cayman) Limited</w:t>
            </w:r>
            <w:r>
              <w:rPr/>
              <w:t xml:space="preserve"> </w:t>
            </w:r>
          </w:p>
          <w:p>
            <w:pPr>
              <w:pStyle w:val="TableContents"/>
              <w:bidi w:val="0"/>
              <w:spacing w:before="0" w:after="0"/>
              <w:jc w:val="left"/>
              <w:rPr/>
            </w:pPr>
            <w:r>
              <w:rPr>
                <w:rFonts w:ascii="Times New Roman" w:hAnsi="Times New Roman"/>
                <w:color w:val="000000"/>
                <w:sz w:val="20"/>
              </w:rPr>
              <w:t>c/o PO Box 309</w:t>
            </w:r>
            <w:r>
              <w:rPr/>
              <w:t xml:space="preserve"> </w:t>
            </w:r>
          </w:p>
          <w:p>
            <w:pPr>
              <w:pStyle w:val="TableContents"/>
              <w:bidi w:val="0"/>
              <w:spacing w:before="0" w:after="0"/>
              <w:jc w:val="left"/>
              <w:rPr/>
            </w:pPr>
            <w:r>
              <w:rPr>
                <w:rFonts w:ascii="Times New Roman" w:hAnsi="Times New Roman"/>
                <w:color w:val="000000"/>
                <w:sz w:val="20"/>
              </w:rPr>
              <w:t>Ugland House</w:t>
            </w:r>
            <w:r>
              <w:rPr/>
              <w:t xml:space="preserve"> </w:t>
            </w:r>
          </w:p>
          <w:p>
            <w:pPr>
              <w:pStyle w:val="TableContents"/>
              <w:bidi w:val="0"/>
              <w:spacing w:before="0" w:after="0"/>
              <w:jc w:val="left"/>
              <w:rPr/>
            </w:pPr>
            <w:r>
              <w:rPr>
                <w:rFonts w:ascii="Times New Roman" w:hAnsi="Times New Roman"/>
                <w:color w:val="000000"/>
                <w:sz w:val="20"/>
              </w:rPr>
              <w:t>Grand Cayman, KY1-1104</w:t>
            </w:r>
            <w:r>
              <w:rPr/>
              <w:t xml:space="preserve"> </w:t>
            </w:r>
          </w:p>
          <w:p>
            <w:pPr>
              <w:pStyle w:val="TableContents"/>
              <w:bidi w:val="0"/>
              <w:spacing w:before="0" w:after="0"/>
              <w:jc w:val="left"/>
              <w:rPr/>
            </w:pPr>
            <w:r>
              <w:rPr>
                <w:rFonts w:ascii="Times New Roman" w:hAnsi="Times New Roman"/>
                <w:color w:val="000000"/>
                <w:sz w:val="20"/>
              </w:rPr>
              <w:t>Cayman Islands</w:t>
            </w:r>
            <w:r>
              <w:rPr/>
              <w:t xml:space="preserve"> </w:t>
            </w:r>
          </w:p>
        </w:tc>
        <w:tc>
          <w:tcPr>
            <w:tcW w:w="5356" w:type="dxa"/>
            <w:tcBorders>
              <w:top w:val="single" w:sz="12" w:space="0" w:color="000000"/>
              <w:left w:val="single" w:sz="12" w:space="0" w:color="000000"/>
              <w:right w:val="single" w:sz="12" w:space="0" w:color="000000"/>
            </w:tcBorders>
            <w:tcMar>
              <w:right w:w="45" w:type="dxa"/>
            </w:tcMar>
            <w:vAlign w:val="center"/>
          </w:tcPr>
          <w:p>
            <w:pPr>
              <w:pStyle w:val="TableContents"/>
              <w:bidi w:val="0"/>
              <w:spacing w:before="0" w:after="0"/>
              <w:jc w:val="left"/>
              <w:rPr/>
            </w:pPr>
            <w:r>
              <w:rPr>
                <w:rFonts w:ascii="Times New Roman" w:hAnsi="Times New Roman"/>
                <w:color w:val="000000"/>
                <w:sz w:val="20"/>
              </w:rPr>
              <w:t>Vice President of Maples Fiduciary Services (Cayman) Limited</w:t>
            </w:r>
            <w:r>
              <w:rPr/>
              <w:t xml:space="preserve"> </w:t>
            </w:r>
          </w:p>
        </w:tc>
      </w:tr>
      <w:tr>
        <w:trPr/>
        <w:tc>
          <w:tcPr>
            <w:tcW w:w="1316" w:type="dxa"/>
            <w:tcBorders>
              <w:top w:val="single" w:sz="12" w:space="0" w:color="000000"/>
              <w:left w:val="single" w:sz="12" w:space="0" w:color="000000"/>
            </w:tcBorders>
            <w:vAlign w:val="center"/>
          </w:tcPr>
          <w:p>
            <w:pPr>
              <w:pStyle w:val="TableContents"/>
              <w:bidi w:val="0"/>
              <w:spacing w:before="0" w:after="0"/>
              <w:jc w:val="left"/>
              <w:rPr/>
            </w:pPr>
            <w:r>
              <w:rPr>
                <w:rFonts w:ascii="Times New Roman" w:hAnsi="Times New Roman"/>
                <w:color w:val="000000"/>
                <w:sz w:val="20"/>
              </w:rPr>
              <w:t>William Shaw</w:t>
            </w:r>
            <w:r>
              <w:rPr/>
              <w:t xml:space="preserve"> </w:t>
            </w:r>
          </w:p>
        </w:tc>
        <w:tc>
          <w:tcPr>
            <w:tcW w:w="3533" w:type="dxa"/>
            <w:tcBorders>
              <w:top w:val="single" w:sz="12" w:space="0" w:color="000000"/>
              <w:left w:val="single" w:sz="12" w:space="0" w:color="000000"/>
            </w:tcBorders>
            <w:vAlign w:val="center"/>
          </w:tcPr>
          <w:p>
            <w:pPr>
              <w:pStyle w:val="TableContents"/>
              <w:bidi w:val="0"/>
              <w:spacing w:before="0" w:after="0"/>
              <w:jc w:val="left"/>
              <w:rPr/>
            </w:pPr>
            <w:r>
              <w:rPr>
                <w:rFonts w:ascii="Times New Roman" w:hAnsi="Times New Roman"/>
                <w:color w:val="000000"/>
                <w:sz w:val="20"/>
              </w:rPr>
              <w:t>Maples Fiduciary Services (Cayman) Limited</w:t>
            </w:r>
            <w:r>
              <w:rPr/>
              <w:t xml:space="preserve"> </w:t>
            </w:r>
          </w:p>
          <w:p>
            <w:pPr>
              <w:pStyle w:val="TableContents"/>
              <w:bidi w:val="0"/>
              <w:spacing w:before="0" w:after="0"/>
              <w:jc w:val="left"/>
              <w:rPr/>
            </w:pPr>
            <w:r>
              <w:rPr>
                <w:rFonts w:ascii="Times New Roman" w:hAnsi="Times New Roman"/>
                <w:color w:val="000000"/>
                <w:sz w:val="20"/>
              </w:rPr>
              <w:t>c/o PO Box 309</w:t>
            </w:r>
            <w:r>
              <w:rPr/>
              <w:t xml:space="preserve"> </w:t>
            </w:r>
          </w:p>
          <w:p>
            <w:pPr>
              <w:pStyle w:val="TableContents"/>
              <w:bidi w:val="0"/>
              <w:spacing w:before="0" w:after="0"/>
              <w:jc w:val="left"/>
              <w:rPr/>
            </w:pPr>
            <w:r>
              <w:rPr>
                <w:rFonts w:ascii="Times New Roman" w:hAnsi="Times New Roman"/>
                <w:color w:val="000000"/>
                <w:sz w:val="20"/>
              </w:rPr>
              <w:t>Ugland House</w:t>
            </w:r>
            <w:r>
              <w:rPr/>
              <w:t xml:space="preserve"> </w:t>
            </w:r>
          </w:p>
          <w:p>
            <w:pPr>
              <w:pStyle w:val="TableContents"/>
              <w:bidi w:val="0"/>
              <w:spacing w:before="0" w:after="0"/>
              <w:jc w:val="left"/>
              <w:rPr/>
            </w:pPr>
            <w:r>
              <w:rPr>
                <w:rFonts w:ascii="Times New Roman" w:hAnsi="Times New Roman"/>
                <w:color w:val="000000"/>
                <w:sz w:val="20"/>
              </w:rPr>
              <w:t>Grand Cayman, KY1-1104</w:t>
            </w:r>
            <w:r>
              <w:rPr/>
              <w:t xml:space="preserve"> </w:t>
            </w:r>
          </w:p>
          <w:p>
            <w:pPr>
              <w:pStyle w:val="TableContents"/>
              <w:bidi w:val="0"/>
              <w:spacing w:before="0" w:after="0"/>
              <w:jc w:val="left"/>
              <w:rPr/>
            </w:pPr>
            <w:r>
              <w:rPr>
                <w:rFonts w:ascii="Times New Roman" w:hAnsi="Times New Roman"/>
                <w:color w:val="000000"/>
                <w:sz w:val="20"/>
              </w:rPr>
              <w:t>Cayman Islands</w:t>
            </w:r>
            <w:r>
              <w:rPr/>
              <w:t xml:space="preserve"> </w:t>
            </w:r>
          </w:p>
        </w:tc>
        <w:tc>
          <w:tcPr>
            <w:tcW w:w="5356" w:type="dxa"/>
            <w:tcBorders>
              <w:top w:val="single" w:sz="12" w:space="0" w:color="000000"/>
              <w:left w:val="single" w:sz="12" w:space="0" w:color="000000"/>
              <w:right w:val="single" w:sz="12" w:space="0" w:color="000000"/>
            </w:tcBorders>
            <w:tcMar>
              <w:right w:w="45" w:type="dxa"/>
            </w:tcMar>
            <w:vAlign w:val="center"/>
          </w:tcPr>
          <w:p>
            <w:pPr>
              <w:pStyle w:val="TableContents"/>
              <w:bidi w:val="0"/>
              <w:spacing w:before="0" w:after="0"/>
              <w:jc w:val="left"/>
              <w:rPr/>
            </w:pPr>
            <w:r>
              <w:rPr>
                <w:rFonts w:ascii="Times New Roman" w:hAnsi="Times New Roman"/>
                <w:color w:val="000000"/>
                <w:sz w:val="20"/>
              </w:rPr>
              <w:t>Senior Vice President of Maples Fiduciary Services (Cayman) Limited</w:t>
            </w:r>
            <w:r>
              <w:rPr/>
              <w:t xml:space="preserve"> </w:t>
            </w:r>
          </w:p>
        </w:tc>
      </w:tr>
      <w:tr>
        <w:trPr/>
        <w:tc>
          <w:tcPr>
            <w:tcW w:w="1316" w:type="dxa"/>
            <w:tcBorders>
              <w:top w:val="single" w:sz="12" w:space="0" w:color="000000"/>
              <w:left w:val="single" w:sz="12" w:space="0" w:color="000000"/>
              <w:bottom w:val="single" w:sz="12" w:space="0" w:color="000000"/>
            </w:tcBorders>
            <w:tcMar>
              <w:bottom w:w="45" w:type="dxa"/>
            </w:tcMar>
            <w:vAlign w:val="center"/>
          </w:tcPr>
          <w:p>
            <w:pPr>
              <w:pStyle w:val="TableContents"/>
              <w:bidi w:val="0"/>
              <w:spacing w:before="0" w:after="0"/>
              <w:jc w:val="left"/>
              <w:rPr/>
            </w:pPr>
            <w:r>
              <w:rPr>
                <w:rFonts w:ascii="Times New Roman" w:hAnsi="Times New Roman"/>
                <w:color w:val="000000"/>
                <w:sz w:val="20"/>
              </w:rPr>
              <w:t>Kishan Mehta</w:t>
            </w:r>
            <w:r>
              <w:rPr/>
              <w:t xml:space="preserve"> </w:t>
            </w:r>
          </w:p>
        </w:tc>
        <w:tc>
          <w:tcPr>
            <w:tcW w:w="3533" w:type="dxa"/>
            <w:tcBorders>
              <w:top w:val="single" w:sz="12" w:space="0" w:color="000000"/>
              <w:left w:val="single" w:sz="12" w:space="0" w:color="000000"/>
              <w:bottom w:val="single" w:sz="12" w:space="0" w:color="000000"/>
            </w:tcBorders>
            <w:tcMar>
              <w:bottom w:w="45" w:type="dxa"/>
            </w:tcMar>
            <w:vAlign w:val="center"/>
          </w:tcPr>
          <w:p>
            <w:pPr>
              <w:pStyle w:val="TableContents"/>
              <w:bidi w:val="0"/>
              <w:spacing w:before="0" w:after="0"/>
              <w:jc w:val="left"/>
              <w:rPr/>
            </w:pPr>
            <w:r>
              <w:rPr>
                <w:rFonts w:ascii="Times New Roman" w:hAnsi="Times New Roman"/>
                <w:color w:val="000000"/>
                <w:sz w:val="20"/>
              </w:rPr>
              <w:t>c/o Montanova Capital, LLC</w:t>
              <w:br/>
              <w:t>11 E 26th Street, 16th Floor</w:t>
              <w:br/>
              <w:t>New York, NY 10010</w:t>
            </w:r>
            <w:r>
              <w:rPr/>
              <w:t xml:space="preserve"> </w:t>
            </w:r>
          </w:p>
        </w:tc>
        <w:tc>
          <w:tcPr>
            <w:tcW w:w="5356" w:type="dxa"/>
            <w:tcBorders>
              <w:top w:val="single" w:sz="12" w:space="0" w:color="000000"/>
              <w:left w:val="single" w:sz="12" w:space="0" w:color="000000"/>
              <w:bottom w:val="single" w:sz="12" w:space="0" w:color="000000"/>
              <w:right w:val="single" w:sz="12" w:space="0" w:color="000000"/>
            </w:tcBorders>
            <w:tcMar>
              <w:bottom w:w="45" w:type="dxa"/>
              <w:right w:w="45" w:type="dxa"/>
            </w:tcMar>
            <w:vAlign w:val="center"/>
          </w:tcPr>
          <w:p>
            <w:pPr>
              <w:pStyle w:val="TableContents"/>
              <w:bidi w:val="0"/>
              <w:spacing w:before="0" w:after="0"/>
              <w:jc w:val="left"/>
              <w:rPr/>
            </w:pPr>
            <w:r>
              <w:rPr>
                <w:rFonts w:ascii="Times New Roman" w:hAnsi="Times New Roman"/>
                <w:color w:val="000000"/>
                <w:sz w:val="20"/>
              </w:rPr>
              <w:t>Portfolio Manager, Montanova Capital, LLC</w:t>
            </w:r>
            <w:r>
              <w:rPr/>
              <w:t xml:space="preserve"> </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rFonts w:ascii="Times New Roman" w:hAnsi="Times New Roman"/>
          <w:color w:val="000000"/>
          <w:sz w:val="20"/>
          <w:u w:val="single"/>
        </w:rPr>
        <w:t>Montanova Capital, LLC</w:t>
      </w:r>
      <w:r>
        <w:rPr/>
        <w:t xml:space="preserve"> </w:t>
      </w:r>
    </w:p>
    <w:p>
      <w:pPr>
        <w:pStyle w:val="TextBody"/>
        <w:bidi w:val="0"/>
        <w:spacing w:before="0" w:after="0"/>
        <w:jc w:val="left"/>
        <w:rPr/>
      </w:pPr>
      <w:r>
        <w:rPr/>
        <w:t xml:space="preserve">  </w:t>
      </w:r>
    </w:p>
    <w:tbl>
      <w:tblPr>
        <w:tblW w:w="8223" w:type="dxa"/>
        <w:jc w:val="left"/>
        <w:tblInd w:w="-15" w:type="dxa"/>
        <w:tblLayout w:type="fixed"/>
        <w:tblCellMar>
          <w:top w:w="45" w:type="dxa"/>
          <w:left w:w="45" w:type="dxa"/>
          <w:bottom w:w="0" w:type="dxa"/>
          <w:right w:w="0" w:type="dxa"/>
        </w:tblCellMar>
      </w:tblPr>
      <w:tblGrid>
        <w:gridCol w:w="1726"/>
        <w:gridCol w:w="2461"/>
        <w:gridCol w:w="4036"/>
      </w:tblGrid>
      <w:tr>
        <w:trPr/>
        <w:tc>
          <w:tcPr>
            <w:tcW w:w="1726" w:type="dxa"/>
            <w:tcBorders>
              <w:top w:val="single" w:sz="12" w:space="0" w:color="000000"/>
              <w:left w:val="single" w:sz="12" w:space="0" w:color="000000"/>
            </w:tcBorders>
            <w:vAlign w:val="center"/>
          </w:tcPr>
          <w:p>
            <w:pPr>
              <w:pStyle w:val="TableContents"/>
              <w:bidi w:val="0"/>
              <w:spacing w:before="0" w:after="0"/>
              <w:jc w:val="left"/>
              <w:rPr/>
            </w:pPr>
            <w:r>
              <w:rPr>
                <w:rFonts w:ascii="Times New Roman" w:hAnsi="Times New Roman"/>
                <w:color w:val="000000"/>
                <w:sz w:val="20"/>
                <w:u w:val="single"/>
              </w:rPr>
              <w:t>Name</w:t>
            </w:r>
            <w:r>
              <w:rPr/>
              <w:t xml:space="preserve"> </w:t>
            </w:r>
          </w:p>
        </w:tc>
        <w:tc>
          <w:tcPr>
            <w:tcW w:w="2461" w:type="dxa"/>
            <w:tcBorders>
              <w:top w:val="single" w:sz="12" w:space="0" w:color="000000"/>
              <w:left w:val="single" w:sz="12" w:space="0" w:color="000000"/>
            </w:tcBorders>
            <w:vAlign w:val="center"/>
          </w:tcPr>
          <w:p>
            <w:pPr>
              <w:pStyle w:val="TableContents"/>
              <w:bidi w:val="0"/>
              <w:spacing w:before="0" w:after="0"/>
              <w:jc w:val="left"/>
              <w:rPr/>
            </w:pPr>
            <w:r>
              <w:rPr>
                <w:rFonts w:ascii="Times New Roman" w:hAnsi="Times New Roman"/>
                <w:color w:val="000000"/>
                <w:sz w:val="20"/>
                <w:u w:val="single"/>
              </w:rPr>
              <w:t>Present Business Address</w:t>
            </w:r>
            <w:r>
              <w:rPr/>
              <w:t xml:space="preserve"> </w:t>
            </w:r>
          </w:p>
        </w:tc>
        <w:tc>
          <w:tcPr>
            <w:tcW w:w="4036" w:type="dxa"/>
            <w:tcBorders>
              <w:top w:val="single" w:sz="12" w:space="0" w:color="000000"/>
              <w:left w:val="single" w:sz="12" w:space="0" w:color="000000"/>
              <w:right w:val="single" w:sz="12" w:space="0" w:color="000000"/>
            </w:tcBorders>
            <w:tcMar>
              <w:right w:w="45" w:type="dxa"/>
            </w:tcMar>
            <w:vAlign w:val="center"/>
          </w:tcPr>
          <w:p>
            <w:pPr>
              <w:pStyle w:val="TableContents"/>
              <w:bidi w:val="0"/>
              <w:spacing w:before="0" w:after="0"/>
              <w:jc w:val="left"/>
              <w:rPr/>
            </w:pPr>
            <w:r>
              <w:rPr>
                <w:rFonts w:ascii="Times New Roman" w:hAnsi="Times New Roman"/>
                <w:color w:val="000000"/>
                <w:sz w:val="20"/>
                <w:u w:val="single"/>
              </w:rPr>
              <w:t>Present Principal Occupation</w:t>
            </w:r>
            <w:r>
              <w:rPr/>
              <w:t xml:space="preserve"> </w:t>
            </w:r>
          </w:p>
        </w:tc>
      </w:tr>
      <w:tr>
        <w:trPr/>
        <w:tc>
          <w:tcPr>
            <w:tcW w:w="8223" w:type="dxa"/>
            <w:gridSpan w:val="3"/>
            <w:tcBorders>
              <w:top w:val="single" w:sz="12" w:space="0" w:color="000000"/>
              <w:left w:val="single" w:sz="12" w:space="0" w:color="000000"/>
              <w:right w:val="single" w:sz="12" w:space="0" w:color="000000"/>
            </w:tcBorders>
            <w:tcMar>
              <w:right w:w="45" w:type="dxa"/>
            </w:tcMar>
            <w:vAlign w:val="center"/>
          </w:tcPr>
          <w:p>
            <w:pPr>
              <w:pStyle w:val="TableContents"/>
              <w:bidi w:val="0"/>
              <w:spacing w:before="0" w:after="0"/>
              <w:jc w:val="left"/>
              <w:rPr/>
            </w:pPr>
            <w:r>
              <w:rPr>
                <w:rFonts w:ascii="Times New Roman" w:hAnsi="Times New Roman"/>
                <w:color w:val="000000"/>
                <w:sz w:val="20"/>
              </w:rPr>
              <w:t>Officers:</w:t>
            </w:r>
            <w:r>
              <w:rPr/>
              <w:t xml:space="preserve"> </w:t>
            </w:r>
          </w:p>
        </w:tc>
      </w:tr>
      <w:tr>
        <w:trPr/>
        <w:tc>
          <w:tcPr>
            <w:tcW w:w="1726" w:type="dxa"/>
            <w:tcBorders>
              <w:top w:val="single" w:sz="12" w:space="0" w:color="000000"/>
              <w:left w:val="single" w:sz="12" w:space="0" w:color="000000"/>
            </w:tcBorders>
            <w:vAlign w:val="center"/>
          </w:tcPr>
          <w:p>
            <w:pPr>
              <w:pStyle w:val="TableContents"/>
              <w:bidi w:val="0"/>
              <w:spacing w:before="0" w:after="0"/>
              <w:jc w:val="left"/>
              <w:rPr/>
            </w:pPr>
            <w:r>
              <w:rPr>
                <w:rFonts w:ascii="Times New Roman" w:hAnsi="Times New Roman"/>
                <w:color w:val="000000"/>
                <w:sz w:val="20"/>
              </w:rPr>
              <w:t>Aaron Cowen</w:t>
            </w:r>
            <w:r>
              <w:rPr/>
              <w:t xml:space="preserve"> </w:t>
            </w:r>
          </w:p>
        </w:tc>
        <w:tc>
          <w:tcPr>
            <w:tcW w:w="2461" w:type="dxa"/>
            <w:tcBorders>
              <w:top w:val="single" w:sz="12" w:space="0" w:color="000000"/>
              <w:left w:val="single" w:sz="12" w:space="0" w:color="000000"/>
            </w:tcBorders>
            <w:vAlign w:val="center"/>
          </w:tcPr>
          <w:p>
            <w:pPr>
              <w:pStyle w:val="TableContents"/>
              <w:bidi w:val="0"/>
              <w:spacing w:before="0" w:after="0"/>
              <w:jc w:val="left"/>
              <w:rPr/>
            </w:pPr>
            <w:r>
              <w:rPr>
                <w:rFonts w:ascii="Times New Roman" w:hAnsi="Times New Roman"/>
                <w:color w:val="000000"/>
                <w:sz w:val="20"/>
              </w:rPr>
              <w:t>c/o Montanova Capital, LLC</w:t>
              <w:br/>
              <w:t>11 E 26th Street, 16th Floor</w:t>
              <w:br/>
              <w:t>New York, NY 10010</w:t>
            </w:r>
            <w:r>
              <w:rPr/>
              <w:t xml:space="preserve"> </w:t>
            </w:r>
          </w:p>
        </w:tc>
        <w:tc>
          <w:tcPr>
            <w:tcW w:w="4036" w:type="dxa"/>
            <w:tcBorders>
              <w:top w:val="single" w:sz="12" w:space="0" w:color="000000"/>
              <w:left w:val="single" w:sz="12" w:space="0" w:color="000000"/>
              <w:right w:val="single" w:sz="12" w:space="0" w:color="000000"/>
            </w:tcBorders>
            <w:tcMar>
              <w:right w:w="45" w:type="dxa"/>
            </w:tcMar>
            <w:vAlign w:val="center"/>
          </w:tcPr>
          <w:p>
            <w:pPr>
              <w:pStyle w:val="TableContents"/>
              <w:bidi w:val="0"/>
              <w:spacing w:before="0" w:after="0"/>
              <w:jc w:val="left"/>
              <w:rPr/>
            </w:pPr>
            <w:r>
              <w:rPr>
                <w:rFonts w:ascii="Times New Roman" w:hAnsi="Times New Roman"/>
                <w:color w:val="000000"/>
                <w:sz w:val="20"/>
              </w:rPr>
              <w:t>Managing Member</w:t>
            </w:r>
            <w:r>
              <w:rPr/>
              <w:t xml:space="preserve"> </w:t>
            </w:r>
          </w:p>
        </w:tc>
      </w:tr>
      <w:tr>
        <w:trPr/>
        <w:tc>
          <w:tcPr>
            <w:tcW w:w="1726" w:type="dxa"/>
            <w:tcBorders>
              <w:top w:val="single" w:sz="12" w:space="0" w:color="000000"/>
              <w:left w:val="single" w:sz="12" w:space="0" w:color="000000"/>
            </w:tcBorders>
            <w:vAlign w:val="center"/>
          </w:tcPr>
          <w:p>
            <w:pPr>
              <w:pStyle w:val="TableContents"/>
              <w:bidi w:val="0"/>
              <w:spacing w:before="0" w:after="0"/>
              <w:jc w:val="left"/>
              <w:rPr/>
            </w:pPr>
            <w:r>
              <w:rPr>
                <w:rFonts w:ascii="Times New Roman" w:hAnsi="Times New Roman"/>
                <w:color w:val="000000"/>
                <w:sz w:val="20"/>
              </w:rPr>
              <w:t>Glenn Shepard</w:t>
            </w:r>
            <w:r>
              <w:rPr/>
              <w:t xml:space="preserve"> </w:t>
            </w:r>
          </w:p>
        </w:tc>
        <w:tc>
          <w:tcPr>
            <w:tcW w:w="2461" w:type="dxa"/>
            <w:tcBorders>
              <w:top w:val="single" w:sz="12" w:space="0" w:color="000000"/>
              <w:left w:val="single" w:sz="12" w:space="0" w:color="000000"/>
            </w:tcBorders>
            <w:vAlign w:val="center"/>
          </w:tcPr>
          <w:p>
            <w:pPr>
              <w:pStyle w:val="TableContents"/>
              <w:bidi w:val="0"/>
              <w:spacing w:before="0" w:after="0"/>
              <w:jc w:val="left"/>
              <w:rPr/>
            </w:pPr>
            <w:r>
              <w:rPr>
                <w:rFonts w:ascii="Times New Roman" w:hAnsi="Times New Roman"/>
                <w:color w:val="000000"/>
                <w:sz w:val="20"/>
              </w:rPr>
              <w:t>c/o Montanova Capital, LLC</w:t>
              <w:br/>
              <w:t>11 E 26th Street, 16th Floor</w:t>
              <w:br/>
              <w:t>New York, NY 10010</w:t>
            </w:r>
            <w:r>
              <w:rPr/>
              <w:t xml:space="preserve"> </w:t>
            </w:r>
          </w:p>
        </w:tc>
        <w:tc>
          <w:tcPr>
            <w:tcW w:w="4036" w:type="dxa"/>
            <w:tcBorders>
              <w:top w:val="single" w:sz="12" w:space="0" w:color="000000"/>
              <w:left w:val="single" w:sz="12" w:space="0" w:color="000000"/>
              <w:right w:val="single" w:sz="12" w:space="0" w:color="000000"/>
            </w:tcBorders>
            <w:tcMar>
              <w:right w:w="45" w:type="dxa"/>
            </w:tcMar>
            <w:vAlign w:val="center"/>
          </w:tcPr>
          <w:p>
            <w:pPr>
              <w:pStyle w:val="TableContents"/>
              <w:bidi w:val="0"/>
              <w:spacing w:before="0" w:after="0"/>
              <w:jc w:val="left"/>
              <w:rPr/>
            </w:pPr>
            <w:r>
              <w:rPr>
                <w:rFonts w:ascii="Times New Roman" w:hAnsi="Times New Roman"/>
                <w:color w:val="000000"/>
                <w:sz w:val="20"/>
              </w:rPr>
              <w:t>Chief Financial Officer</w:t>
            </w:r>
            <w:r>
              <w:rPr/>
              <w:t xml:space="preserve"> </w:t>
            </w:r>
          </w:p>
        </w:tc>
      </w:tr>
      <w:tr>
        <w:trPr/>
        <w:tc>
          <w:tcPr>
            <w:tcW w:w="1726" w:type="dxa"/>
            <w:tcBorders>
              <w:top w:val="single" w:sz="12" w:space="0" w:color="000000"/>
              <w:left w:val="single" w:sz="12" w:space="0" w:color="000000"/>
              <w:bottom w:val="single" w:sz="12" w:space="0" w:color="000000"/>
            </w:tcBorders>
            <w:tcMar>
              <w:bottom w:w="45" w:type="dxa"/>
            </w:tcMar>
            <w:vAlign w:val="center"/>
          </w:tcPr>
          <w:p>
            <w:pPr>
              <w:pStyle w:val="TableContents"/>
              <w:bidi w:val="0"/>
              <w:spacing w:before="0" w:after="0"/>
              <w:jc w:val="left"/>
              <w:rPr/>
            </w:pPr>
            <w:r>
              <w:rPr>
                <w:rFonts w:ascii="Times New Roman" w:hAnsi="Times New Roman"/>
                <w:color w:val="000000"/>
                <w:sz w:val="20"/>
              </w:rPr>
              <w:t>Andrew Nathanson</w:t>
            </w:r>
            <w:r>
              <w:rPr/>
              <w:t xml:space="preserve"> </w:t>
            </w:r>
          </w:p>
        </w:tc>
        <w:tc>
          <w:tcPr>
            <w:tcW w:w="2461" w:type="dxa"/>
            <w:tcBorders>
              <w:top w:val="single" w:sz="12" w:space="0" w:color="000000"/>
              <w:left w:val="single" w:sz="12" w:space="0" w:color="000000"/>
              <w:bottom w:val="single" w:sz="12" w:space="0" w:color="000000"/>
            </w:tcBorders>
            <w:tcMar>
              <w:bottom w:w="45" w:type="dxa"/>
            </w:tcMar>
            <w:vAlign w:val="center"/>
          </w:tcPr>
          <w:p>
            <w:pPr>
              <w:pStyle w:val="TableContents"/>
              <w:bidi w:val="0"/>
              <w:spacing w:before="0" w:after="0"/>
              <w:jc w:val="left"/>
              <w:rPr/>
            </w:pPr>
            <w:r>
              <w:rPr>
                <w:rFonts w:ascii="Times New Roman" w:hAnsi="Times New Roman"/>
                <w:color w:val="000000"/>
                <w:sz w:val="20"/>
              </w:rPr>
              <w:t>c/o Montanova Capital, LLC</w:t>
              <w:br/>
              <w:t>11 E 26th Street, 16th Floor</w:t>
              <w:br/>
              <w:t>New York, NY 10010</w:t>
            </w:r>
            <w:r>
              <w:rPr/>
              <w:t xml:space="preserve"> </w:t>
            </w:r>
          </w:p>
        </w:tc>
        <w:tc>
          <w:tcPr>
            <w:tcW w:w="4036" w:type="dxa"/>
            <w:tcBorders>
              <w:top w:val="single" w:sz="12" w:space="0" w:color="000000"/>
              <w:left w:val="single" w:sz="12" w:space="0" w:color="000000"/>
              <w:bottom w:val="single" w:sz="12" w:space="0" w:color="000000"/>
              <w:right w:val="single" w:sz="12" w:space="0" w:color="000000"/>
            </w:tcBorders>
            <w:tcMar>
              <w:bottom w:w="45" w:type="dxa"/>
              <w:right w:w="45" w:type="dxa"/>
            </w:tcMar>
            <w:vAlign w:val="center"/>
          </w:tcPr>
          <w:p>
            <w:pPr>
              <w:pStyle w:val="TableContents"/>
              <w:bidi w:val="0"/>
              <w:spacing w:before="0" w:after="0"/>
              <w:jc w:val="left"/>
              <w:rPr/>
            </w:pPr>
            <w:r>
              <w:rPr>
                <w:rFonts w:ascii="Times New Roman" w:hAnsi="Times New Roman"/>
                <w:color w:val="000000"/>
                <w:sz w:val="20"/>
              </w:rPr>
              <w:t>General Counsel and Chief Compliance Officer</w:t>
            </w:r>
            <w:r>
              <w:rPr/>
              <w:t xml:space="preserve"> </w:t>
            </w:r>
          </w:p>
        </w:tc>
      </w:tr>
    </w:tbl>
    <w:p>
      <w:pPr>
        <w:pStyle w:val="TextBody"/>
        <w:bidi w:val="0"/>
        <w:spacing w:before="0" w:after="0"/>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2178</Words>
  <Characters>11397</Characters>
  <CharactersWithSpaces>13472</CharactersWithSpaces>
  <Paragraphs>342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