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804545</wp:posOffset>
            </wp:positionV>
            <wp:extent cx="7139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828675</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11"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73"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________________________________</w:t>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8" w:lineRule="exact"/>
        <w:rPr>
          <w:sz w:val="24"/>
          <w:szCs w:val="24"/>
          <w:color w:val="auto"/>
        </w:rPr>
      </w:pPr>
    </w:p>
    <w:p>
      <w:pPr>
        <w:ind w:left="3760" w:right="2020" w:hanging="3741"/>
        <w:spacing w:after="0" w:line="519" w:lineRule="auto"/>
        <w:tabs>
          <w:tab w:leader="none" w:pos="472" w:val="left"/>
        </w:tabs>
        <w:numPr>
          <w:ilvl w:val="0"/>
          <w:numId w:val="1"/>
        </w:numPr>
        <w:rPr>
          <w:rFonts w:ascii="Wingdings" w:cs="Wingdings" w:eastAsia="Wingdings" w:hAnsi="Wingdings"/>
          <w:sz w:val="17"/>
          <w:szCs w:val="17"/>
          <w:b w:val="1"/>
          <w:bCs w:val="1"/>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March 31, 2026</w:t>
      </w:r>
    </w:p>
    <w:p>
      <w:pPr>
        <w:spacing w:after="0" w:line="294"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7"/>
          <w:szCs w:val="17"/>
          <w:b w:val="1"/>
          <w:bCs w:val="1"/>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48"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001-43097</w:t>
      </w:r>
    </w:p>
    <w:p>
      <w:pPr>
        <w:spacing w:after="0" w:line="2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Veradermics, Incorporated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4"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________________________________</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jc w:val="center"/>
              <w:ind w:left="501"/>
              <w:spacing w:after="0"/>
              <w:rPr>
                <w:sz w:val="20"/>
                <w:szCs w:val="20"/>
                <w:color w:val="auto"/>
              </w:rPr>
            </w:pPr>
            <w:r>
              <w:rPr>
                <w:rFonts w:ascii="Arial" w:cs="Arial" w:eastAsia="Arial" w:hAnsi="Arial"/>
                <w:sz w:val="17"/>
                <w:szCs w:val="17"/>
                <w:b w:val="1"/>
                <w:bCs w:val="1"/>
                <w:color w:val="auto"/>
                <w:w w:val="99"/>
              </w:rPr>
              <w:t>Delaware</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0" w:type="dxa"/>
            <w:vAlign w:val="bottom"/>
          </w:tcPr>
          <w:p>
            <w:pPr>
              <w:jc w:val="right"/>
              <w:ind w:right="2240"/>
              <w:spacing w:after="0"/>
              <w:rPr>
                <w:sz w:val="20"/>
                <w:szCs w:val="20"/>
                <w:color w:val="auto"/>
              </w:rPr>
            </w:pPr>
            <w:r>
              <w:rPr>
                <w:rFonts w:ascii="Arial" w:cs="Arial" w:eastAsia="Arial" w:hAnsi="Arial"/>
                <w:sz w:val="17"/>
                <w:szCs w:val="17"/>
                <w:b w:val="1"/>
                <w:bCs w:val="1"/>
                <w:color w:val="auto"/>
              </w:rPr>
              <w:t>84-3304423</w:t>
            </w:r>
          </w:p>
        </w:tc>
        <w:tc>
          <w:tcPr>
            <w:tcW w:w="20" w:type="dxa"/>
            <w:vAlign w:val="bottom"/>
          </w:tcPr>
          <w:p>
            <w:pPr>
              <w:spacing w:after="0"/>
              <w:rPr>
                <w:sz w:val="20"/>
                <w:szCs w:val="20"/>
                <w:color w:val="auto"/>
              </w:rPr>
            </w:pPr>
          </w:p>
        </w:tc>
      </w:tr>
      <w:tr>
        <w:trPr>
          <w:trHeight w:val="218"/>
        </w:trPr>
        <w:tc>
          <w:tcPr>
            <w:tcW w:w="4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6"/>
        </w:trPr>
        <w:tc>
          <w:tcPr>
            <w:tcW w:w="5000" w:type="dxa"/>
            <w:vAlign w:val="bottom"/>
            <w:gridSpan w:val="3"/>
          </w:tcPr>
          <w:p>
            <w:pPr>
              <w:jc w:val="center"/>
              <w:ind w:left="481"/>
              <w:spacing w:after="0"/>
              <w:rPr>
                <w:sz w:val="20"/>
                <w:szCs w:val="20"/>
                <w:color w:val="auto"/>
              </w:rPr>
            </w:pPr>
            <w:r>
              <w:rPr>
                <w:rFonts w:ascii="Arial" w:cs="Arial" w:eastAsia="Arial" w:hAnsi="Arial"/>
                <w:sz w:val="17"/>
                <w:szCs w:val="17"/>
                <w:color w:val="auto"/>
              </w:rPr>
              <w:t>(State or other jurisdiction of incorporation or organization)</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gridSpan w:val="2"/>
          </w:tcPr>
          <w:p>
            <w:pPr>
              <w:jc w:val="center"/>
              <w:ind w:right="960"/>
              <w:spacing w:after="0"/>
              <w:rPr>
                <w:sz w:val="20"/>
                <w:szCs w:val="20"/>
                <w:color w:val="auto"/>
              </w:rPr>
            </w:pPr>
            <w:r>
              <w:rPr>
                <w:rFonts w:ascii="Arial" w:cs="Arial" w:eastAsia="Arial" w:hAnsi="Arial"/>
                <w:sz w:val="17"/>
                <w:szCs w:val="17"/>
                <w:color w:val="auto"/>
              </w:rPr>
              <w:t>(I.R.S. Employer Identification No.)</w:t>
            </w:r>
          </w:p>
        </w:tc>
      </w:tr>
      <w:tr>
        <w:trPr>
          <w:trHeight w:val="471"/>
        </w:trPr>
        <w:tc>
          <w:tcPr>
            <w:tcW w:w="5000" w:type="dxa"/>
            <w:vAlign w:val="bottom"/>
            <w:gridSpan w:val="3"/>
          </w:tcPr>
          <w:p>
            <w:pPr>
              <w:jc w:val="center"/>
              <w:ind w:left="501"/>
              <w:spacing w:after="0"/>
              <w:rPr>
                <w:sz w:val="20"/>
                <w:szCs w:val="20"/>
                <w:color w:val="auto"/>
              </w:rPr>
            </w:pPr>
            <w:r>
              <w:rPr>
                <w:rFonts w:ascii="Arial" w:cs="Arial" w:eastAsia="Arial" w:hAnsi="Arial"/>
                <w:sz w:val="17"/>
                <w:szCs w:val="17"/>
                <w:b w:val="1"/>
                <w:bCs w:val="1"/>
                <w:color w:val="auto"/>
              </w:rPr>
              <w:t>470 James St., New Haven</w:t>
            </w:r>
            <w:r>
              <w:rPr>
                <w:rFonts w:ascii="Arial" w:cs="Arial" w:eastAsia="Arial" w:hAnsi="Arial"/>
                <w:sz w:val="15"/>
                <w:szCs w:val="15"/>
                <w:b w:val="1"/>
                <w:bCs w:val="1"/>
                <w:color w:val="auto"/>
              </w:rPr>
              <w:t>,</w:t>
            </w:r>
            <w:r>
              <w:rPr>
                <w:rFonts w:ascii="Arial" w:cs="Arial" w:eastAsia="Arial" w:hAnsi="Arial"/>
                <w:sz w:val="17"/>
                <w:szCs w:val="17"/>
                <w:b w:val="1"/>
                <w:bCs w:val="1"/>
                <w:color w:val="auto"/>
              </w:rPr>
              <w:t xml:space="preserve"> CT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right"/>
              <w:ind w:right="2440"/>
              <w:spacing w:after="0"/>
              <w:rPr>
                <w:sz w:val="20"/>
                <w:szCs w:val="20"/>
                <w:color w:val="auto"/>
              </w:rPr>
            </w:pPr>
            <w:r>
              <w:rPr>
                <w:rFonts w:ascii="Arial" w:cs="Arial" w:eastAsia="Arial" w:hAnsi="Arial"/>
                <w:sz w:val="17"/>
                <w:szCs w:val="17"/>
                <w:b w:val="1"/>
                <w:bCs w:val="1"/>
                <w:color w:val="auto"/>
              </w:rPr>
              <w:t>06513</w:t>
            </w:r>
          </w:p>
        </w:tc>
        <w:tc>
          <w:tcPr>
            <w:tcW w:w="20" w:type="dxa"/>
            <w:vAlign w:val="bottom"/>
          </w:tcPr>
          <w:p>
            <w:pPr>
              <w:spacing w:after="0"/>
              <w:rPr>
                <w:sz w:val="24"/>
                <w:szCs w:val="24"/>
                <w:color w:val="auto"/>
              </w:rPr>
            </w:pPr>
          </w:p>
        </w:tc>
      </w:tr>
      <w:tr>
        <w:trPr>
          <w:trHeight w:val="218"/>
        </w:trPr>
        <w:tc>
          <w:tcPr>
            <w:tcW w:w="4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6"/>
        </w:trPr>
        <w:tc>
          <w:tcPr>
            <w:tcW w:w="5000" w:type="dxa"/>
            <w:vAlign w:val="bottom"/>
            <w:gridSpan w:val="3"/>
          </w:tcPr>
          <w:p>
            <w:pPr>
              <w:jc w:val="center"/>
              <w:ind w:left="501"/>
              <w:spacing w:after="0"/>
              <w:rPr>
                <w:sz w:val="20"/>
                <w:szCs w:val="20"/>
                <w:color w:val="auto"/>
              </w:rPr>
            </w:pPr>
            <w:r>
              <w:rPr>
                <w:rFonts w:ascii="Arial" w:cs="Arial" w:eastAsia="Arial" w:hAnsi="Arial"/>
                <w:sz w:val="17"/>
                <w:szCs w:val="17"/>
                <w:color w:val="auto"/>
                <w:w w:val="99"/>
              </w:rPr>
              <w:t>(Address of Principal Executive Offices)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gridSpan w:val="2"/>
          </w:tcPr>
          <w:p>
            <w:pPr>
              <w:jc w:val="center"/>
              <w:ind w:right="940"/>
              <w:spacing w:after="0"/>
              <w:rPr>
                <w:sz w:val="20"/>
                <w:szCs w:val="20"/>
                <w:color w:val="auto"/>
              </w:rPr>
            </w:pPr>
            <w:r>
              <w:rPr>
                <w:rFonts w:ascii="Arial" w:cs="Arial" w:eastAsia="Arial" w:hAnsi="Arial"/>
                <w:sz w:val="17"/>
                <w:szCs w:val="17"/>
                <w:color w:val="auto"/>
                <w:w w:val="99"/>
              </w:rPr>
              <w:t>(Zip Code)</w:t>
            </w:r>
          </w:p>
        </w:tc>
      </w:tr>
      <w:tr>
        <w:trPr>
          <w:trHeight w:val="637"/>
        </w:trPr>
        <w:tc>
          <w:tcPr>
            <w:tcW w:w="11240" w:type="dxa"/>
            <w:vAlign w:val="bottom"/>
            <w:gridSpan w:val="9"/>
          </w:tcPr>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(228) 372 3376</w:t>
            </w:r>
          </w:p>
        </w:tc>
      </w:tr>
      <w:tr>
        <w:trPr>
          <w:trHeight w:val="262"/>
        </w:trPr>
        <w:tc>
          <w:tcPr>
            <w:tcW w:w="50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7"/>
              </w:rPr>
              <w:t>Trading Symbol(s)</w:t>
            </w:r>
          </w:p>
        </w:tc>
        <w:tc>
          <w:tcPr>
            <w:tcW w:w="80" w:type="dxa"/>
            <w:vAlign w:val="bottom"/>
          </w:tcPr>
          <w:p>
            <w:pPr>
              <w:spacing w:after="0"/>
              <w:rPr>
                <w:sz w:val="21"/>
                <w:szCs w:val="21"/>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Name of each exchange on which registered</w:t>
            </w:r>
          </w:p>
        </w:tc>
        <w:tc>
          <w:tcPr>
            <w:tcW w:w="20" w:type="dxa"/>
            <w:vAlign w:val="bottom"/>
          </w:tcPr>
          <w:p>
            <w:pPr>
              <w:spacing w:after="0"/>
              <w:rPr>
                <w:sz w:val="21"/>
                <w:szCs w:val="21"/>
                <w:color w:val="auto"/>
              </w:rPr>
            </w:pPr>
          </w:p>
        </w:tc>
      </w:tr>
      <w:tr>
        <w:trPr>
          <w:trHeight w:val="178"/>
        </w:trPr>
        <w:tc>
          <w:tcPr>
            <w:tcW w:w="5000" w:type="dxa"/>
            <w:vAlign w:val="bottom"/>
            <w:gridSpan w:val="3"/>
          </w:tcPr>
          <w:p>
            <w:pPr>
              <w:jc w:val="center"/>
              <w:ind w:right="400"/>
              <w:spacing w:after="0"/>
              <w:rPr>
                <w:sz w:val="20"/>
                <w:szCs w:val="20"/>
                <w:color w:val="auto"/>
              </w:rPr>
            </w:pPr>
            <w:r>
              <w:rPr>
                <w:rFonts w:ascii="Arial" w:cs="Arial" w:eastAsia="Arial" w:hAnsi="Arial"/>
                <w:sz w:val="14"/>
                <w:szCs w:val="14"/>
                <w:color w:val="auto"/>
                <w:w w:val="97"/>
              </w:rPr>
              <w:t>Common stock, par value $0.00001 per share</w:t>
            </w:r>
          </w:p>
        </w:tc>
        <w:tc>
          <w:tcPr>
            <w:tcW w:w="1620" w:type="dxa"/>
            <w:vAlign w:val="bottom"/>
            <w:gridSpan w:val="4"/>
          </w:tcPr>
          <w:p>
            <w:pPr>
              <w:jc w:val="center"/>
              <w:ind w:right="420"/>
              <w:spacing w:after="0"/>
              <w:rPr>
                <w:sz w:val="20"/>
                <w:szCs w:val="20"/>
                <w:color w:val="auto"/>
              </w:rPr>
            </w:pPr>
            <w:r>
              <w:rPr>
                <w:rFonts w:ascii="Arial" w:cs="Arial" w:eastAsia="Arial" w:hAnsi="Arial"/>
                <w:sz w:val="14"/>
                <w:szCs w:val="14"/>
                <w:color w:val="auto"/>
                <w:w w:val="98"/>
              </w:rPr>
              <w:t>MANE</w:t>
            </w:r>
          </w:p>
        </w:tc>
        <w:tc>
          <w:tcPr>
            <w:tcW w:w="462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New York Stock Exchange</w:t>
            </w:r>
          </w:p>
        </w:tc>
      </w:tr>
    </w:tbl>
    <w:p>
      <w:pPr>
        <w:spacing w:after="0" w:line="272" w:lineRule="exact"/>
        <w:rPr>
          <w:sz w:val="24"/>
          <w:szCs w:val="24"/>
          <w:color w:val="auto"/>
        </w:rPr>
      </w:pPr>
    </w:p>
    <w:p>
      <w:pPr>
        <w:jc w:val="both"/>
        <w:ind w:right="300"/>
        <w:spacing w:after="0" w:line="25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180"/>
        <w:spacing w:after="0"/>
        <w:tabs>
          <w:tab w:leader="none" w:pos="10800" w:val="left"/>
        </w:tabs>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ab/>
        <w:t xml:space="preserve">No </w:t>
      </w:r>
      <w:r>
        <w:rPr>
          <w:rFonts w:ascii="Wingdings" w:cs="Wingdings" w:eastAsia="Wingdings" w:hAnsi="Wingdings"/>
          <w:sz w:val="17"/>
          <w:szCs w:val="17"/>
          <w:b w:val="1"/>
          <w:bCs w:val="1"/>
          <w:color w:val="auto"/>
        </w:rPr>
        <w:t>o</w:t>
      </w:r>
    </w:p>
    <w:p>
      <w:pPr>
        <w:spacing w:after="0" w:line="147" w:lineRule="exact"/>
        <w:rPr>
          <w:sz w:val="24"/>
          <w:szCs w:val="24"/>
          <w:color w:val="auto"/>
        </w:rPr>
      </w:pPr>
    </w:p>
    <w:p>
      <w:pPr>
        <w:ind w:right="100"/>
        <w:spacing w:after="0" w:line="25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180"/>
        <w:spacing w:after="0"/>
        <w:tabs>
          <w:tab w:leader="none" w:pos="10800" w:val="left"/>
        </w:tabs>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ab/>
        <w:t xml:space="preserve">No </w:t>
      </w:r>
      <w:r>
        <w:rPr>
          <w:rFonts w:ascii="Wingdings" w:cs="Wingdings" w:eastAsia="Wingdings" w:hAnsi="Wingdings"/>
          <w:sz w:val="17"/>
          <w:szCs w:val="17"/>
          <w:b w:val="1"/>
          <w:bCs w:val="1"/>
          <w:color w:val="auto"/>
        </w:rPr>
        <w:t>o</w:t>
      </w:r>
    </w:p>
    <w:p>
      <w:pPr>
        <w:spacing w:after="0" w:line="147" w:lineRule="exact"/>
        <w:rPr>
          <w:sz w:val="24"/>
          <w:szCs w:val="24"/>
          <w:color w:val="auto"/>
        </w:rPr>
      </w:pPr>
    </w:p>
    <w:p>
      <w:pPr>
        <w:ind w:right="20"/>
        <w:spacing w:after="0" w:line="28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612140</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filer,” “accelerated filer,” “smaller reporting company,” and "emerging growth company" in Rule 12b-2 of the Exchange Act.</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000" w:type="dxa"/>
            <w:vAlign w:val="bottom"/>
          </w:tcPr>
          <w:p>
            <w:pPr>
              <w:ind w:left="700"/>
              <w:spacing w:after="0"/>
              <w:rPr>
                <w:sz w:val="20"/>
                <w:szCs w:val="20"/>
                <w:color w:val="auto"/>
              </w:rPr>
            </w:pPr>
            <w:r>
              <w:rPr>
                <w:rFonts w:ascii="Wingdings" w:cs="Wingdings" w:eastAsia="Wingdings" w:hAnsi="Wingdings"/>
                <w:sz w:val="17"/>
                <w:szCs w:val="17"/>
                <w:b w:val="1"/>
                <w:bCs w:val="1"/>
                <w:color w:val="auto"/>
              </w:rPr>
              <w:t>o</w:t>
            </w:r>
          </w:p>
        </w:tc>
        <w:tc>
          <w:tcPr>
            <w:tcW w:w="4660" w:type="dxa"/>
            <w:vAlign w:val="bottom"/>
          </w:tcPr>
          <w:p>
            <w:pPr>
              <w:ind w:left="210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7"/>
                <w:szCs w:val="17"/>
                <w:b w:val="1"/>
                <w:bCs w:val="1"/>
                <w:color w:val="auto"/>
              </w:rPr>
              <w:t>o</w:t>
            </w:r>
          </w:p>
        </w:tc>
      </w:tr>
      <w:tr>
        <w:trPr>
          <w:trHeight w:val="461"/>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3000" w:type="dxa"/>
            <w:vAlign w:val="bottom"/>
          </w:tcPr>
          <w:p>
            <w:pPr>
              <w:ind w:left="700"/>
              <w:spacing w:after="0"/>
              <w:rPr>
                <w:sz w:val="20"/>
                <w:szCs w:val="20"/>
                <w:color w:val="auto"/>
              </w:rPr>
            </w:pPr>
            <w:r>
              <w:rPr>
                <w:rFonts w:ascii="Wingdings" w:cs="Wingdings" w:eastAsia="Wingdings" w:hAnsi="Wingdings"/>
                <w:sz w:val="17"/>
                <w:szCs w:val="17"/>
                <w:b w:val="1"/>
                <w:bCs w:val="1"/>
                <w:color w:val="auto"/>
              </w:rPr>
              <w:t>x</w:t>
            </w:r>
          </w:p>
        </w:tc>
        <w:tc>
          <w:tcPr>
            <w:tcW w:w="4660" w:type="dxa"/>
            <w:vAlign w:val="bottom"/>
          </w:tcPr>
          <w:p>
            <w:pPr>
              <w:ind w:left="210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20"/>
              <w:spacing w:after="0"/>
              <w:rPr>
                <w:sz w:val="20"/>
                <w:szCs w:val="20"/>
                <w:color w:val="auto"/>
              </w:rPr>
            </w:pPr>
            <w:r>
              <w:rPr>
                <w:rFonts w:ascii="Wingdings" w:cs="Wingdings" w:eastAsia="Wingdings" w:hAnsi="Wingdings"/>
                <w:sz w:val="17"/>
                <w:szCs w:val="17"/>
                <w:b w:val="1"/>
                <w:bCs w:val="1"/>
                <w:color w:val="auto"/>
                <w:w w:val="88"/>
              </w:rPr>
              <w:t>x</w:t>
            </w:r>
          </w:p>
        </w:tc>
      </w:tr>
      <w:tr>
        <w:trPr>
          <w:trHeight w:val="461"/>
        </w:trPr>
        <w:tc>
          <w:tcPr>
            <w:tcW w:w="2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210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20"/>
              <w:spacing w:after="0"/>
              <w:rPr>
                <w:sz w:val="20"/>
                <w:szCs w:val="20"/>
                <w:color w:val="auto"/>
              </w:rPr>
            </w:pPr>
            <w:r>
              <w:rPr>
                <w:rFonts w:ascii="Wingdings" w:cs="Wingdings" w:eastAsia="Wingdings" w:hAnsi="Wingdings"/>
                <w:sz w:val="17"/>
                <w:szCs w:val="17"/>
                <w:b w:val="1"/>
                <w:bCs w:val="1"/>
                <w:color w:val="auto"/>
                <w:w w:val="88"/>
              </w:rPr>
              <w:t>x</w:t>
            </w:r>
          </w:p>
        </w:tc>
      </w:tr>
    </w:tbl>
    <w:p>
      <w:pPr>
        <w:spacing w:after="0" w:line="200" w:lineRule="exact"/>
        <w:rPr>
          <w:sz w:val="20"/>
          <w:szCs w:val="20"/>
          <w:color w:val="auto"/>
        </w:rPr>
      </w:pP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7"/>
          <w:szCs w:val="17"/>
          <w:b w:val="1"/>
          <w:bCs w:val="1"/>
          <w:color w:val="auto"/>
        </w:rPr>
        <w:t>o</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2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o</w:t>
      </w:r>
      <w:r>
        <w:rPr>
          <w:sz w:val="20"/>
          <w:szCs w:val="20"/>
          <w:color w:val="auto"/>
        </w:rPr>
        <w:tab/>
      </w:r>
      <w:r>
        <w:rPr>
          <w:rFonts w:ascii="Arial" w:cs="Arial" w:eastAsia="Arial" w:hAnsi="Arial"/>
          <w:sz w:val="16"/>
          <w:szCs w:val="16"/>
          <w:color w:val="auto"/>
        </w:rPr>
        <w:t xml:space="preserve">No </w:t>
      </w:r>
      <w:r>
        <w:rPr>
          <w:rFonts w:ascii="Wingdings" w:cs="Wingdings" w:eastAsia="Wingdings" w:hAnsi="Wingdings"/>
          <w:sz w:val="16"/>
          <w:szCs w:val="16"/>
          <w:b w:val="1"/>
          <w:bCs w:val="1"/>
          <w:color w:val="auto"/>
        </w:rPr>
        <w:t>x</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number of shares of Registrant’s Common Stock outstanding as of </w:t>
      </w:r>
      <w:r>
        <w:rPr>
          <w:rFonts w:ascii="Arial" w:cs="Arial" w:eastAsia="Arial" w:hAnsi="Arial"/>
          <w:sz w:val="16"/>
          <w:szCs w:val="16"/>
          <w:color w:val="auto"/>
        </w:rPr>
        <w:t>May 07, 2026 was 41,778,687.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939165</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179070</wp:posOffset>
            </wp:positionV>
            <wp:extent cx="7139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203835</wp:posOffset>
            </wp:positionV>
            <wp:extent cx="7139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467"/>
        </w:trPr>
        <w:tc>
          <w:tcPr>
            <w:tcW w:w="1020" w:type="dxa"/>
            <w:vAlign w:val="bottom"/>
          </w:tcPr>
          <w:p>
            <w:pPr>
              <w:spacing w:after="0"/>
              <w:rPr>
                <w:sz w:val="24"/>
                <w:szCs w:val="24"/>
                <w:color w:val="auto"/>
              </w:rPr>
            </w:pPr>
          </w:p>
        </w:tc>
        <w:tc>
          <w:tcPr>
            <w:tcW w:w="9520" w:type="dxa"/>
            <w:vAlign w:val="bottom"/>
          </w:tcPr>
          <w:p>
            <w:pPr>
              <w:ind w:left="3160"/>
              <w:spacing w:after="0"/>
              <w:rPr>
                <w:sz w:val="20"/>
                <w:szCs w:val="20"/>
                <w:color w:val="auto"/>
              </w:rPr>
            </w:pPr>
            <w:r>
              <w:rPr>
                <w:rFonts w:ascii="Arial" w:cs="Arial" w:eastAsia="Arial" w:hAnsi="Arial"/>
                <w:sz w:val="17"/>
                <w:szCs w:val="17"/>
                <w:b w:val="1"/>
                <w:bCs w:val="1"/>
                <w:color w:val="auto"/>
              </w:rPr>
              <w:t>PART I - FINANCIAL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20" w:type="dxa"/>
            <w:vAlign w:val="bottom"/>
          </w:tcPr>
          <w:p>
            <w:pPr>
              <w:spacing w:after="0"/>
              <w:rPr>
                <w:sz w:val="20"/>
                <w:szCs w:val="20"/>
                <w:color w:val="auto"/>
              </w:rPr>
            </w:pPr>
            <w:r>
              <w:rPr>
                <w:rFonts w:ascii="Arial" w:cs="Arial" w:eastAsia="Arial" w:hAnsi="Arial"/>
                <w:sz w:val="17"/>
                <w:szCs w:val="17"/>
                <w:color w:val="auto"/>
              </w:rPr>
              <w:t>Item 1.</w:t>
            </w:r>
          </w:p>
        </w:tc>
        <w:tc>
          <w:tcPr>
            <w:tcW w:w="9520" w:type="dxa"/>
            <w:vAlign w:val="bottom"/>
          </w:tcPr>
          <w:p>
            <w:pPr>
              <w:ind w:left="120"/>
              <w:spacing w:after="0"/>
              <w:rPr>
                <w:sz w:val="20"/>
                <w:szCs w:val="20"/>
                <w:color w:val="auto"/>
              </w:rPr>
            </w:pPr>
            <w:r>
              <w:rPr>
                <w:rFonts w:ascii="Arial" w:cs="Arial" w:eastAsia="Arial" w:hAnsi="Arial"/>
                <w:sz w:val="17"/>
                <w:szCs w:val="17"/>
                <w:color w:val="auto"/>
              </w:rPr>
              <w:t>Condensed Consolidated Financial Statements (unaudited)</w:t>
            </w: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9520" w:type="dxa"/>
            <w:vAlign w:val="bottom"/>
          </w:tcPr>
          <w:p>
            <w:pPr>
              <w:ind w:left="120"/>
              <w:spacing w:after="0"/>
              <w:rPr>
                <w:sz w:val="20"/>
                <w:szCs w:val="20"/>
                <w:color w:val="auto"/>
              </w:rPr>
            </w:pPr>
            <w:r>
              <w:rPr>
                <w:rFonts w:ascii="Arial" w:cs="Arial" w:eastAsia="Arial" w:hAnsi="Arial"/>
                <w:sz w:val="17"/>
                <w:szCs w:val="17"/>
                <w:color w:val="auto"/>
              </w:rPr>
              <w:t>Condensed Consolidated Balance Sheets (unaudited)</w:t>
            </w: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9520" w:type="dxa"/>
            <w:vAlign w:val="bottom"/>
          </w:tcPr>
          <w:p>
            <w:pPr>
              <w:ind w:left="120"/>
              <w:spacing w:after="0"/>
              <w:rPr>
                <w:sz w:val="20"/>
                <w:szCs w:val="20"/>
                <w:color w:val="auto"/>
              </w:rPr>
            </w:pPr>
            <w:r>
              <w:rPr>
                <w:rFonts w:ascii="Arial" w:cs="Arial" w:eastAsia="Arial" w:hAnsi="Arial"/>
                <w:sz w:val="17"/>
                <w:szCs w:val="17"/>
                <w:color w:val="auto"/>
              </w:rPr>
              <w:t>Condensed Consolidated Statements of Operations and Comprehensive Loss (unaudited)</w:t>
            </w:r>
          </w:p>
        </w:tc>
        <w:tc>
          <w:tcPr>
            <w:tcW w:w="6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9520" w:type="dxa"/>
            <w:vAlign w:val="bottom"/>
          </w:tcPr>
          <w:p>
            <w:pPr>
              <w:ind w:left="120"/>
              <w:spacing w:after="0" w:line="171" w:lineRule="exact"/>
              <w:rPr>
                <w:sz w:val="20"/>
                <w:szCs w:val="20"/>
                <w:color w:val="auto"/>
              </w:rPr>
            </w:pPr>
            <w:r>
              <w:rPr>
                <w:rFonts w:ascii="Arial" w:cs="Arial" w:eastAsia="Arial" w:hAnsi="Arial"/>
                <w:sz w:val="17"/>
                <w:szCs w:val="17"/>
                <w:color w:val="auto"/>
              </w:rPr>
              <w:t>Condensed Consolidated Statements of Changes in Redeemable Convertible Preferred Stock and Stockholders’ Equity</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6"/>
        </w:trPr>
        <w:tc>
          <w:tcPr>
            <w:tcW w:w="1020" w:type="dxa"/>
            <w:vAlign w:val="bottom"/>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7"/>
                <w:szCs w:val="17"/>
                <w:color w:val="auto"/>
              </w:rPr>
              <w:t>(Deficit) (unaudited)</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9520" w:type="dxa"/>
            <w:vAlign w:val="bottom"/>
          </w:tcPr>
          <w:p>
            <w:pPr>
              <w:ind w:left="120"/>
              <w:spacing w:after="0"/>
              <w:rPr>
                <w:sz w:val="20"/>
                <w:szCs w:val="20"/>
                <w:color w:val="auto"/>
              </w:rPr>
            </w:pPr>
            <w:r>
              <w:rPr>
                <w:rFonts w:ascii="Arial" w:cs="Arial" w:eastAsia="Arial" w:hAnsi="Arial"/>
                <w:sz w:val="17"/>
                <w:szCs w:val="17"/>
                <w:color w:val="auto"/>
              </w:rPr>
              <w:t>Condensed Consolidated Statements of Cash Flows (unaudited)</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9520" w:type="dxa"/>
            <w:vAlign w:val="bottom"/>
          </w:tcPr>
          <w:p>
            <w:pPr>
              <w:ind w:left="120"/>
              <w:spacing w:after="0"/>
              <w:rPr>
                <w:sz w:val="20"/>
                <w:szCs w:val="20"/>
                <w:color w:val="auto"/>
              </w:rPr>
            </w:pPr>
            <w:r>
              <w:rPr>
                <w:rFonts w:ascii="Arial" w:cs="Arial" w:eastAsia="Arial" w:hAnsi="Arial"/>
                <w:sz w:val="17"/>
                <w:szCs w:val="17"/>
                <w:color w:val="auto"/>
              </w:rPr>
              <w:t>Notes to Financial Statements (unaudited)</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2.</w:t>
            </w:r>
          </w:p>
        </w:tc>
        <w:tc>
          <w:tcPr>
            <w:tcW w:w="9520" w:type="dxa"/>
            <w:vAlign w:val="bottom"/>
          </w:tcPr>
          <w:p>
            <w:pPr>
              <w:ind w:left="12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3.</w:t>
            </w:r>
          </w:p>
        </w:tc>
        <w:tc>
          <w:tcPr>
            <w:tcW w:w="9520" w:type="dxa"/>
            <w:vAlign w:val="bottom"/>
          </w:tcPr>
          <w:p>
            <w:pPr>
              <w:ind w:left="120"/>
              <w:spacing w:after="0"/>
              <w:rPr>
                <w:sz w:val="20"/>
                <w:szCs w:val="20"/>
                <w:color w:val="auto"/>
              </w:rPr>
            </w:pPr>
            <w:r>
              <w:rPr>
                <w:rFonts w:ascii="Arial" w:cs="Arial" w:eastAsia="Arial" w:hAnsi="Arial"/>
                <w:sz w:val="17"/>
                <w:szCs w:val="17"/>
                <w:color w:val="auto"/>
              </w:rPr>
              <w:t>Quantitative and Qualitative Disclosure About Market Risk</w:t>
            </w:r>
          </w:p>
        </w:tc>
        <w:tc>
          <w:tcPr>
            <w:tcW w:w="6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7"/>
                <w:szCs w:val="17"/>
                <w:color w:val="auto"/>
              </w:rPr>
              <w:t>Item 4.</w:t>
            </w:r>
          </w:p>
        </w:tc>
        <w:tc>
          <w:tcPr>
            <w:tcW w:w="9520" w:type="dxa"/>
            <w:vAlign w:val="bottom"/>
          </w:tcPr>
          <w:p>
            <w:pPr>
              <w:ind w:left="120"/>
              <w:spacing w:after="0"/>
              <w:rPr>
                <w:sz w:val="20"/>
                <w:szCs w:val="20"/>
                <w:color w:val="auto"/>
              </w:rPr>
            </w:pPr>
            <w:r>
              <w:rPr>
                <w:rFonts w:ascii="Arial" w:cs="Arial" w:eastAsia="Arial" w:hAnsi="Arial"/>
                <w:sz w:val="17"/>
                <w:szCs w:val="17"/>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484"/>
        </w:trPr>
        <w:tc>
          <w:tcPr>
            <w:tcW w:w="1020" w:type="dxa"/>
            <w:vAlign w:val="bottom"/>
          </w:tcPr>
          <w:p>
            <w:pPr>
              <w:spacing w:after="0"/>
              <w:rPr>
                <w:sz w:val="24"/>
                <w:szCs w:val="24"/>
                <w:color w:val="auto"/>
              </w:rPr>
            </w:pPr>
          </w:p>
        </w:tc>
        <w:tc>
          <w:tcPr>
            <w:tcW w:w="9520" w:type="dxa"/>
            <w:vAlign w:val="bottom"/>
          </w:tcPr>
          <w:p>
            <w:pPr>
              <w:ind w:left="3300"/>
              <w:spacing w:after="0"/>
              <w:rPr>
                <w:sz w:val="20"/>
                <w:szCs w:val="20"/>
                <w:color w:val="auto"/>
              </w:rPr>
            </w:pPr>
            <w:r>
              <w:rPr>
                <w:rFonts w:ascii="Arial" w:cs="Arial" w:eastAsia="Arial" w:hAnsi="Arial"/>
                <w:sz w:val="17"/>
                <w:szCs w:val="17"/>
                <w:b w:val="1"/>
                <w:bCs w:val="1"/>
                <w:color w:val="auto"/>
              </w:rPr>
              <w:t>PART II -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20" w:type="dxa"/>
            <w:vAlign w:val="bottom"/>
          </w:tcPr>
          <w:p>
            <w:pPr>
              <w:spacing w:after="0"/>
              <w:rPr>
                <w:sz w:val="20"/>
                <w:szCs w:val="20"/>
                <w:color w:val="auto"/>
              </w:rPr>
            </w:pPr>
            <w:r>
              <w:rPr>
                <w:rFonts w:ascii="Arial" w:cs="Arial" w:eastAsia="Arial" w:hAnsi="Arial"/>
                <w:sz w:val="17"/>
                <w:szCs w:val="17"/>
                <w:color w:val="auto"/>
              </w:rPr>
              <w:t>Item 1.</w:t>
            </w:r>
          </w:p>
        </w:tc>
        <w:tc>
          <w:tcPr>
            <w:tcW w:w="9520" w:type="dxa"/>
            <w:vAlign w:val="bottom"/>
          </w:tcPr>
          <w:p>
            <w:pPr>
              <w:ind w:left="120"/>
              <w:spacing w:after="0"/>
              <w:rPr>
                <w:sz w:val="20"/>
                <w:szCs w:val="20"/>
                <w:color w:val="auto"/>
              </w:rPr>
            </w:pPr>
            <w:r>
              <w:rPr>
                <w:rFonts w:ascii="Arial" w:cs="Arial" w:eastAsia="Arial" w:hAnsi="Arial"/>
                <w:sz w:val="17"/>
                <w:szCs w:val="17"/>
                <w:color w:val="auto"/>
              </w:rPr>
              <w:t>Legal Proceedings</w:t>
            </w: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1A.</w:t>
            </w:r>
          </w:p>
        </w:tc>
        <w:tc>
          <w:tcPr>
            <w:tcW w:w="9520" w:type="dxa"/>
            <w:vAlign w:val="bottom"/>
          </w:tcPr>
          <w:p>
            <w:pPr>
              <w:ind w:left="120"/>
              <w:spacing w:after="0"/>
              <w:rPr>
                <w:sz w:val="20"/>
                <w:szCs w:val="20"/>
                <w:color w:val="auto"/>
              </w:rPr>
            </w:pPr>
            <w:r>
              <w:rPr>
                <w:rFonts w:ascii="Arial" w:cs="Arial" w:eastAsia="Arial" w:hAnsi="Arial"/>
                <w:sz w:val="17"/>
                <w:szCs w:val="17"/>
                <w:color w:val="auto"/>
              </w:rPr>
              <w:t>Risk Factors</w:t>
            </w: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2.</w:t>
            </w:r>
          </w:p>
        </w:tc>
        <w:tc>
          <w:tcPr>
            <w:tcW w:w="9520" w:type="dxa"/>
            <w:vAlign w:val="bottom"/>
          </w:tcPr>
          <w:p>
            <w:pPr>
              <w:ind w:left="120"/>
              <w:spacing w:after="0"/>
              <w:rPr>
                <w:sz w:val="20"/>
                <w:szCs w:val="20"/>
                <w:color w:val="auto"/>
              </w:rPr>
            </w:pPr>
            <w:r>
              <w:rPr>
                <w:rFonts w:ascii="Arial" w:cs="Arial" w:eastAsia="Arial" w:hAnsi="Arial"/>
                <w:sz w:val="17"/>
                <w:szCs w:val="17"/>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3.</w:t>
            </w:r>
          </w:p>
        </w:tc>
        <w:tc>
          <w:tcPr>
            <w:tcW w:w="9520" w:type="dxa"/>
            <w:vAlign w:val="bottom"/>
          </w:tcPr>
          <w:p>
            <w:pPr>
              <w:ind w:left="120"/>
              <w:spacing w:after="0"/>
              <w:rPr>
                <w:sz w:val="20"/>
                <w:szCs w:val="20"/>
                <w:color w:val="auto"/>
              </w:rPr>
            </w:pPr>
            <w:r>
              <w:rPr>
                <w:rFonts w:ascii="Arial" w:cs="Arial" w:eastAsia="Arial" w:hAnsi="Arial"/>
                <w:sz w:val="17"/>
                <w:szCs w:val="17"/>
                <w:color w:val="auto"/>
              </w:rPr>
              <w:t>Defaults Upon Senior Securities</w:t>
            </w:r>
          </w:p>
        </w:tc>
        <w:tc>
          <w:tcPr>
            <w:tcW w:w="6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4.</w:t>
            </w:r>
          </w:p>
        </w:tc>
        <w:tc>
          <w:tcPr>
            <w:tcW w:w="9520" w:type="dxa"/>
            <w:vAlign w:val="bottom"/>
          </w:tcPr>
          <w:p>
            <w:pPr>
              <w:ind w:left="120"/>
              <w:spacing w:after="0"/>
              <w:rPr>
                <w:sz w:val="20"/>
                <w:szCs w:val="20"/>
                <w:color w:val="auto"/>
              </w:rPr>
            </w:pPr>
            <w:r>
              <w:rPr>
                <w:rFonts w:ascii="Arial" w:cs="Arial" w:eastAsia="Arial" w:hAnsi="Arial"/>
                <w:sz w:val="17"/>
                <w:szCs w:val="17"/>
                <w:color w:val="auto"/>
              </w:rPr>
              <w:t>Mine Safety Disclosures</w:t>
            </w:r>
          </w:p>
        </w:tc>
        <w:tc>
          <w:tcPr>
            <w:tcW w:w="6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Item 5.</w:t>
            </w:r>
          </w:p>
        </w:tc>
        <w:tc>
          <w:tcPr>
            <w:tcW w:w="9520" w:type="dxa"/>
            <w:vAlign w:val="bottom"/>
          </w:tcPr>
          <w:p>
            <w:pPr>
              <w:ind w:left="120"/>
              <w:spacing w:after="0"/>
              <w:rPr>
                <w:sz w:val="20"/>
                <w:szCs w:val="20"/>
                <w:color w:val="auto"/>
              </w:rPr>
            </w:pPr>
            <w:r>
              <w:rPr>
                <w:rFonts w:ascii="Arial" w:cs="Arial" w:eastAsia="Arial" w:hAnsi="Arial"/>
                <w:sz w:val="17"/>
                <w:szCs w:val="17"/>
                <w:color w:val="auto"/>
              </w:rPr>
              <w:t>Other Information</w:t>
            </w:r>
          </w:p>
        </w:tc>
        <w:tc>
          <w:tcPr>
            <w:tcW w:w="6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7"/>
                <w:szCs w:val="17"/>
                <w:color w:val="auto"/>
              </w:rPr>
              <w:t>Item 6.</w:t>
            </w:r>
          </w:p>
        </w:tc>
        <w:tc>
          <w:tcPr>
            <w:tcW w:w="9520" w:type="dxa"/>
            <w:vAlign w:val="bottom"/>
          </w:tcPr>
          <w:p>
            <w:pPr>
              <w:ind w:left="120"/>
              <w:spacing w:after="0"/>
              <w:rPr>
                <w:sz w:val="20"/>
                <w:szCs w:val="20"/>
                <w:color w:val="auto"/>
              </w:rPr>
            </w:pPr>
            <w:r>
              <w:rPr>
                <w:rFonts w:ascii="Arial" w:cs="Arial" w:eastAsia="Arial" w:hAnsi="Arial"/>
                <w:sz w:val="17"/>
                <w:szCs w:val="17"/>
                <w:color w:val="auto"/>
              </w:rPr>
              <w:t>Exhibits</w:t>
            </w:r>
          </w:p>
        </w:tc>
        <w:tc>
          <w:tcPr>
            <w:tcW w:w="68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484"/>
        </w:trPr>
        <w:tc>
          <w:tcPr>
            <w:tcW w:w="1020" w:type="dxa"/>
            <w:vAlign w:val="bottom"/>
          </w:tcPr>
          <w:p>
            <w:pPr>
              <w:spacing w:after="0"/>
              <w:rPr>
                <w:sz w:val="20"/>
                <w:szCs w:val="20"/>
                <w:color w:val="auto"/>
              </w:rPr>
            </w:pPr>
            <w:r>
              <w:rPr>
                <w:rFonts w:ascii="Arial" w:cs="Arial" w:eastAsia="Arial" w:hAnsi="Arial"/>
                <w:sz w:val="17"/>
                <w:szCs w:val="17"/>
                <w:b w:val="1"/>
                <w:bCs w:val="1"/>
                <w:color w:val="auto"/>
              </w:rPr>
              <w:t>Signatures</w:t>
            </w:r>
          </w:p>
        </w:tc>
        <w:tc>
          <w:tcPr>
            <w:tcW w:w="9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160655</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40" w:top="1096" w:right="339" w:bottom="1440" w:gutter="0" w:footer="0" w:header="0"/>
        </w:sectPr>
      </w:pPr>
    </w:p>
    <w:bookmarkStart w:id="3" w:name="page4"/>
    <w:bookmarkEnd w:id="3"/>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00" w:lineRule="exact"/>
        <w:rPr>
          <w:sz w:val="20"/>
          <w:szCs w:val="20"/>
          <w:color w:val="auto"/>
        </w:rPr>
      </w:pPr>
    </w:p>
    <w:p>
      <w:pPr>
        <w:spacing w:after="0" w:line="34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Quarterly Report on Form 10-Q contains forward-looking statements that are based on management’s beliefs and assumptions and on information currently available to management.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92" w:lineRule="exact"/>
        <w:rPr>
          <w:sz w:val="20"/>
          <w:szCs w:val="20"/>
          <w:color w:val="auto"/>
        </w:rPr>
      </w:pPr>
    </w:p>
    <w:p>
      <w:pPr>
        <w:ind w:left="620" w:right="180" w:hanging="310"/>
        <w:spacing w:after="0" w:line="267"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the initiation, timing, enrollment, progress, results, and cost of our research and development programs, and our current and future preclinical and clinical studies, including statements regarding the timing of initiation or completion of our clinical trials for VDPHL01 and our other product candidates, and related preparatory work, and the period during which the results of the trials will become available;</w:t>
      </w: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regulatory strategy and the timing of our planned NDA submission for VDPHL01;</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the success, cost and timing of our clinical development of VDPHL01 and our other product candidates;</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initiate, recruit and enroll patients in and conduct our clinical trials at the pace that we project;</w:t>
      </w:r>
    </w:p>
    <w:p>
      <w:pPr>
        <w:spacing w:after="0" w:line="46" w:lineRule="exact"/>
        <w:rPr>
          <w:rFonts w:ascii="Wingdings" w:cs="Wingdings" w:eastAsia="Wingdings" w:hAnsi="Wingdings"/>
          <w:sz w:val="12"/>
          <w:szCs w:val="12"/>
          <w:b w:val="1"/>
          <w:bCs w:val="1"/>
          <w:color w:val="auto"/>
        </w:rPr>
      </w:pPr>
    </w:p>
    <w:p>
      <w:pPr>
        <w:ind w:left="62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the timing of and our ability to obtain and maintain regulatory approval of our product candidates, and any related restrictions, limitations or warnings in the label of any of our product candidates, if approved;</w:t>
      </w:r>
    </w:p>
    <w:p>
      <w:pPr>
        <w:ind w:left="620" w:right="56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compete with companies currently selling, marketing or engaged in the development of treatments for diseases that our product candidates are designed to target, including PHL;</w:t>
      </w: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reliance on third parties to conduct our clinical trials;</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reliance on third parties to manufacture drug substance for use in our clinical trials;</w:t>
      </w:r>
    </w:p>
    <w:p>
      <w:pPr>
        <w:spacing w:after="0" w:line="33" w:lineRule="exact"/>
        <w:rPr>
          <w:rFonts w:ascii="Wingdings" w:cs="Wingdings" w:eastAsia="Wingdings" w:hAnsi="Wingdings"/>
          <w:sz w:val="12"/>
          <w:szCs w:val="12"/>
          <w:b w:val="1"/>
          <w:bCs w:val="1"/>
          <w:color w:val="auto"/>
        </w:rPr>
      </w:pPr>
    </w:p>
    <w:p>
      <w:pPr>
        <w:ind w:left="620" w:right="46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estimates regarding the size and growth potential of the commercial opportunity for VDPHL01 and our current product candidates or other product candidates we may identify and pursue, and our ability to serve those markets;</w:t>
      </w: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expand our pipeline through collaborations, partnerships and other transactions with third parties;</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identify and advance through clinical development any additional product candidates;</w:t>
      </w:r>
    </w:p>
    <w:p>
      <w:pPr>
        <w:spacing w:after="0" w:line="46" w:lineRule="exact"/>
        <w:rPr>
          <w:rFonts w:ascii="Wingdings" w:cs="Wingdings" w:eastAsia="Wingdings" w:hAnsi="Wingdings"/>
          <w:sz w:val="12"/>
          <w:szCs w:val="12"/>
          <w:b w:val="1"/>
          <w:bCs w:val="1"/>
          <w:color w:val="auto"/>
        </w:rPr>
      </w:pPr>
    </w:p>
    <w:p>
      <w:pPr>
        <w:ind w:left="620" w:right="380" w:hanging="310"/>
        <w:spacing w:after="0" w:line="267"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the commercialization of VDPHL01 and our other current product candidates and any other product candidates we may identify and pursue, if approved, including our ability to successfully build commercial infrastructure or enter into collaborations with third parties to market our current product candidates and any other product candidates we may identify and pursue;</w:t>
      </w:r>
    </w:p>
    <w:p>
      <w:pPr>
        <w:ind w:left="620" w:right="42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the effectiveness of physician outreach and education, direct-to-consumer advertising, telehealth engagement and social media campaigns on physician and patient adoption rates;</w:t>
      </w:r>
    </w:p>
    <w:p>
      <w:pPr>
        <w:ind w:left="620" w:right="90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develop and commercialize products that are considered by physicians, patients and payors as medically and/or financially differentiated as compared to competitive products;</w:t>
      </w: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retain and recruit key personnel;</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obtain, maintain and successfully enforce adequate intellectual property rights;</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patent portfolio, including issued, allowed and pending applications, and plans for future applications;</w:t>
      </w:r>
    </w:p>
    <w:p>
      <w:pPr>
        <w:spacing w:after="0" w:line="46" w:lineRule="exact"/>
        <w:rPr>
          <w:rFonts w:ascii="Wingdings" w:cs="Wingdings" w:eastAsia="Wingdings" w:hAnsi="Wingdings"/>
          <w:sz w:val="12"/>
          <w:szCs w:val="12"/>
          <w:b w:val="1"/>
          <w:bCs w:val="1"/>
          <w:color w:val="auto"/>
        </w:rPr>
      </w:pPr>
    </w:p>
    <w:p>
      <w:pPr>
        <w:ind w:left="620" w:right="2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expectations about patient willingness to pay, the effect of macroeconomic conditions on discretionary spending and implications of limited or no third-party payor coverage and reimbursement on VDPHL01, if approved;</w:t>
      </w: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estimates of our expenses, ongoing losses, capital requirements and our needs for or ability to obtain additional financing;</w:t>
      </w:r>
    </w:p>
    <w:p>
      <w:pPr>
        <w:spacing w:after="0" w:line="46" w:lineRule="exact"/>
        <w:rPr>
          <w:rFonts w:ascii="Wingdings" w:cs="Wingdings" w:eastAsia="Wingdings" w:hAnsi="Wingdings"/>
          <w:sz w:val="12"/>
          <w:szCs w:val="12"/>
          <w:b w:val="1"/>
          <w:bCs w:val="1"/>
          <w:color w:val="auto"/>
        </w:rPr>
      </w:pPr>
    </w:p>
    <w:p>
      <w:pPr>
        <w:ind w:left="620" w:right="60" w:hanging="310"/>
        <w:spacing w:after="0" w:line="275" w:lineRule="auto"/>
        <w:tabs>
          <w:tab w:leader="none" w:pos="619"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expected uses of our existing cash, cash equivalents and marketable securities, including the net proceeds to us from this offering and our IPO, and the sufficiency of such capital resources to fund our future operating expenses and capital expenditure requirements;</w:t>
      </w: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expectations regarding the time during which we will be an emerging growth company under the JOBS Act;</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our financial performance;</w:t>
      </w:r>
    </w:p>
    <w:p>
      <w:pPr>
        <w:spacing w:after="0" w:line="46"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developments and projections relating to our competitors or our industry; and</w:t>
      </w:r>
    </w:p>
    <w:p>
      <w:pPr>
        <w:spacing w:after="0" w:line="33"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3"/>
        </w:numPr>
        <w:rPr>
          <w:rFonts w:ascii="Wingdings" w:cs="Wingdings" w:eastAsia="Wingdings" w:hAnsi="Wingdings"/>
          <w:sz w:val="12"/>
          <w:szCs w:val="12"/>
          <w:b w:val="1"/>
          <w:bCs w:val="1"/>
          <w:color w:val="auto"/>
        </w:rPr>
      </w:pPr>
      <w:r>
        <w:rPr>
          <w:rFonts w:ascii="Arial" w:cs="Arial" w:eastAsia="Arial" w:hAnsi="Arial"/>
          <w:sz w:val="16"/>
          <w:szCs w:val="16"/>
          <w:color w:val="auto"/>
        </w:rPr>
        <w:t>other risks and uncertainties, including those listed under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6"/>
          <w:szCs w:val="16"/>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those described under the sections in this Quarterly Report on Form 10-Q titled “Risk Factors” and the sections titled “Risk Factors,” “Management’s Discussion and Analysis of Financial Condition and Results of Operations” and elsewhere in this Quarterly Report on Form 10-Q. In addition, statements that “we believe” and similar statements reflect our beliefs and opinions on the relevant subject. These statements are based upon information available to us as of the date of this Quarterly Report on From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are not obligated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7"/>
          <w:szCs w:val="17"/>
          <w:b w:val="1"/>
          <w:bCs w:val="1"/>
          <w:color w:val="auto"/>
        </w:rPr>
        <w:t>Risk Factor Summary</w:t>
      </w:r>
    </w:p>
    <w:p>
      <w:pPr>
        <w:spacing w:after="0" w:line="200" w:lineRule="exact"/>
        <w:rPr>
          <w:sz w:val="20"/>
          <w:szCs w:val="20"/>
          <w:color w:val="auto"/>
        </w:rPr>
      </w:pPr>
    </w:p>
    <w:p>
      <w:pPr>
        <w:spacing w:after="0" w:line="34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business is subject to a number of risks that are discussed more fully in the “Risk Factors” section of this Quarterly Report on Form 10-Q. These risks include the following:</w:t>
      </w:r>
    </w:p>
    <w:p>
      <w:pPr>
        <w:spacing w:after="0" w:line="170" w:lineRule="exact"/>
        <w:rPr>
          <w:sz w:val="20"/>
          <w:szCs w:val="20"/>
          <w:color w:val="auto"/>
        </w:rPr>
      </w:pPr>
    </w:p>
    <w:p>
      <w:pPr>
        <w:ind w:left="620" w:right="56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are a clinical-stage biopharmaceutical company with a limited operating history and no products approved for commercial sale. We have incurred substantial losses since our inception, and we anticipate incurring substantial and increasing losses for the foreseeable future;</w:t>
      </w:r>
    </w:p>
    <w:p>
      <w:pPr>
        <w:ind w:left="620" w:right="20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will require substantial additional financing to achieve our goals, and failure to obtain additional capital when needed, or on acceptable terms, would cause us to delay, limit, reduce or terminate our product development or commercialization efforts;</w:t>
      </w:r>
    </w:p>
    <w:p>
      <w:pPr>
        <w:ind w:left="620" w:right="400" w:hanging="310"/>
        <w:spacing w:after="0" w:line="272"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currently anticipate that our success will depend on the approval and successful commercialization of VDPHL01, which is our lead product candidate. If we are unable to obtain regulatory approval for, and successfully commercialize, VDPHL01, or any of our other current or future product candidates, or experience significant delays in doing so, our business will be materially harmed;</w:t>
      </w:r>
    </w:p>
    <w:p>
      <w:pPr>
        <w:spacing w:after="0" w:line="1" w:lineRule="exact"/>
        <w:rPr>
          <w:rFonts w:ascii="Wingdings" w:cs="Wingdings" w:eastAsia="Wingdings" w:hAnsi="Wingdings"/>
          <w:sz w:val="12"/>
          <w:szCs w:val="12"/>
          <w:b w:val="1"/>
          <w:bCs w:val="1"/>
          <w:color w:val="auto"/>
        </w:rPr>
      </w:pPr>
    </w:p>
    <w:p>
      <w:pPr>
        <w:ind w:left="620" w:hanging="310"/>
        <w:spacing w:after="0" w:line="260"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Preclinical and clinical development involves a lengthy and expensive process with an uncertain outcome, and results of earlier studies and trials may not be predictive of future preclinical studies or clinical trial results. We may encounter substantial delays in preclinical and clinical trials, or may not be able to conduct or complete preclinical or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2" w:lineRule="exact"/>
        <w:rPr>
          <w:rFonts w:ascii="Wingdings" w:cs="Wingdings" w:eastAsia="Wingdings" w:hAnsi="Wingdings"/>
          <w:sz w:val="12"/>
          <w:szCs w:val="12"/>
          <w:b w:val="1"/>
          <w:bCs w:val="1"/>
          <w:color w:val="auto"/>
        </w:rPr>
      </w:pPr>
    </w:p>
    <w:p>
      <w:pPr>
        <w:ind w:left="620" w:right="20" w:hanging="310"/>
        <w:spacing w:after="0" w:line="267"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If the FDA does not conclude that VDPHL01 satisfies the requirements for the Section 505(b)(2) regulatory approval pathway, or if the requirements for VDPHL01 under Section 505(b)(2) are not as we expect, the approval pathway for those product candidates will likely take significantly longer, cost significantly more and entail significantly greater complications and risks than anticipated, and in either case may not be successful;</w:t>
      </w:r>
    </w:p>
    <w:p>
      <w:pPr>
        <w:ind w:left="620" w:right="20" w:hanging="310"/>
        <w:spacing w:after="0" w:line="267"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Any significant AEs or undesirable side effects caused by our product candidates may delay or prevent regulatory approval or market acceptance of our product candidates, or result in significant negative consequences following marketing approval, if any. Additionally, the clinical profile of VDPHL01 in female patients may differ from the clinical profile in male patients, and the outcomes observed to date in male patients may not be reflective or predictive of future outcomes for female patients;</w:t>
      </w:r>
    </w:p>
    <w:p>
      <w:pPr>
        <w:ind w:left="620" w:right="20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operate in highly competitive markets and face competition from large, well-established companies with significant resources as well as other entities, and, as a result, we may not be able to compete effectively;</w:t>
      </w:r>
    </w:p>
    <w:p>
      <w:pPr>
        <w:ind w:left="620" w:right="44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currently have limited marketing, sales or distribution infrastructure. If we are unable to fully develop our sales, marketing and distribution capability on our own or through collaborations with marketing partners, we may not be successful in commercializing our product candidates;</w:t>
      </w:r>
    </w:p>
    <w:p>
      <w:pPr>
        <w:ind w:left="620" w:right="24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Even if we obtain regulatory approval for VDPHL01 or any other product candidates, such products may fail to achieve market acceptance which would adversely affect our efforts to commercialize any such product successfully;</w:t>
      </w:r>
    </w:p>
    <w:p>
      <w:pPr>
        <w:ind w:left="620" w:right="50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The commercial opportunity for VDPHL01 and any of our other current or future product candidates we may develop may be smaller than we expect;</w:t>
      </w:r>
    </w:p>
    <w:p>
      <w:pPr>
        <w:ind w:left="620" w:hanging="310"/>
        <w:spacing w:after="0"/>
        <w:tabs>
          <w:tab w:leader="none" w:pos="620"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Our strategy of focusing on the cash-pay healthcare market for VDPHL01 may limit our ability to increase sales or achieve profitability;</w:t>
      </w:r>
    </w:p>
    <w:p>
      <w:pPr>
        <w:spacing w:after="0" w:line="46" w:lineRule="exact"/>
        <w:rPr>
          <w:rFonts w:ascii="Wingdings" w:cs="Wingdings" w:eastAsia="Wingdings" w:hAnsi="Wingdings"/>
          <w:sz w:val="12"/>
          <w:szCs w:val="12"/>
          <w:b w:val="1"/>
          <w:bCs w:val="1"/>
          <w:color w:val="auto"/>
        </w:rPr>
      </w:pPr>
    </w:p>
    <w:p>
      <w:pPr>
        <w:ind w:left="620" w:right="4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If we fail to effectively maintain, promote, and enhance our reputation and VDPHL01 brand recognition in a cost-effective manner, our business and competitive advantage may be harmed;</w:t>
      </w:r>
    </w:p>
    <w:p>
      <w:pPr>
        <w:ind w:left="620" w:right="20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are dependent on the services of our senior management and other key personnel, and if we are not able to retain these individuals or recruit additional management or key personnel, our business will suffer;</w:t>
      </w:r>
    </w:p>
    <w:p>
      <w:pPr>
        <w:ind w:left="620" w:right="46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will need to grow our organization, and we may experience difficulties in managing our growth and expanding our operations, which could adversely affect our business;</w:t>
      </w:r>
    </w:p>
    <w:p>
      <w:pPr>
        <w:ind w:left="620" w:right="10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Our commercial success depends on our ability to obtain and maintain sufficient intellectual property protection for VDPHL01 and our other current and any future product candidates and other proprietary technologies;</w:t>
      </w:r>
    </w:p>
    <w:p>
      <w:pPr>
        <w:ind w:left="620" w:right="780" w:hanging="310"/>
        <w:spacing w:after="0" w:line="275" w:lineRule="auto"/>
        <w:tabs>
          <w:tab w:leader="none" w:pos="619"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ind w:left="620" w:hanging="310"/>
        <w:spacing w:after="0"/>
        <w:tabs>
          <w:tab w:leader="none" w:pos="620" w:val="left"/>
        </w:tabs>
        <w:numPr>
          <w:ilvl w:val="0"/>
          <w:numId w:val="4"/>
        </w:numPr>
        <w:rPr>
          <w:rFonts w:ascii="Wingdings" w:cs="Wingdings" w:eastAsia="Wingdings" w:hAnsi="Wingdings"/>
          <w:sz w:val="12"/>
          <w:szCs w:val="12"/>
          <w:b w:val="1"/>
          <w:bCs w:val="1"/>
          <w:color w:val="auto"/>
        </w:rPr>
      </w:pPr>
      <w:r>
        <w:rPr>
          <w:rFonts w:ascii="Arial" w:cs="Arial" w:eastAsia="Arial" w:hAnsi="Arial"/>
          <w:sz w:val="16"/>
          <w:szCs w:val="16"/>
          <w:color w:val="auto"/>
        </w:rPr>
        <w:t>We may not be able to protect our intellectual property rights throughout the world;</w:t>
      </w:r>
    </w:p>
    <w:p>
      <w:pPr>
        <w:spacing w:after="0" w:line="200" w:lineRule="exact"/>
        <w:rPr>
          <w:sz w:val="20"/>
          <w:szCs w:val="20"/>
          <w:color w:val="auto"/>
        </w:rPr>
      </w:pPr>
    </w:p>
    <w:p>
      <w:pPr>
        <w:spacing w:after="0" w:line="28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6" w:name="page7"/>
    <w:bookmarkEnd w:id="6"/>
    <w:p>
      <w:pPr>
        <w:ind w:left="620" w:right="60" w:hanging="310"/>
        <w:spacing w:after="0" w:line="267" w:lineRule="auto"/>
        <w:tabs>
          <w:tab w:leader="none" w:pos="619" w:val="left"/>
        </w:tabs>
        <w:numPr>
          <w:ilvl w:val="0"/>
          <w:numId w:val="5"/>
        </w:numPr>
        <w:rPr>
          <w:rFonts w:ascii="Wingdings" w:cs="Wingdings" w:eastAsia="Wingdings" w:hAnsi="Wingdings"/>
          <w:sz w:val="12"/>
          <w:szCs w:val="12"/>
          <w:b w:val="1"/>
          <w:bCs w:val="1"/>
          <w:color w:val="auto"/>
        </w:rPr>
      </w:pPr>
      <w:r>
        <w:rPr>
          <w:rFonts w:ascii="Arial" w:cs="Arial" w:eastAsia="Arial" w:hAnsi="Arial"/>
          <w:sz w:val="16"/>
          <w:szCs w:val="16"/>
          <w:color w:val="auto"/>
        </w:rPr>
        <w:t>The regulatory approval process is highly uncertain, and we may be unable to obtain, or may be delayed in obtaining, U.S.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ind w:left="620" w:right="160" w:hanging="310"/>
        <w:spacing w:after="0" w:line="267" w:lineRule="auto"/>
        <w:tabs>
          <w:tab w:leader="none" w:pos="619" w:val="left"/>
        </w:tabs>
        <w:numPr>
          <w:ilvl w:val="0"/>
          <w:numId w:val="5"/>
        </w:numPr>
        <w:rPr>
          <w:rFonts w:ascii="Wingdings" w:cs="Wingdings" w:eastAsia="Wingdings" w:hAnsi="Wingdings"/>
          <w:sz w:val="12"/>
          <w:szCs w:val="12"/>
          <w:b w:val="1"/>
          <w:bCs w:val="1"/>
          <w:color w:val="auto"/>
        </w:rPr>
      </w:pPr>
      <w:r>
        <w:rPr>
          <w:rFonts w:ascii="Arial" w:cs="Arial" w:eastAsia="Arial" w:hAnsi="Arial"/>
          <w:sz w:val="16"/>
          <w:szCs w:val="16"/>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ind w:left="620" w:right="300" w:hanging="310"/>
        <w:spacing w:after="0" w:line="260" w:lineRule="auto"/>
        <w:tabs>
          <w:tab w:leader="none" w:pos="619" w:val="left"/>
        </w:tabs>
        <w:numPr>
          <w:ilvl w:val="0"/>
          <w:numId w:val="5"/>
        </w:numPr>
        <w:rPr>
          <w:rFonts w:ascii="Wingdings" w:cs="Wingdings" w:eastAsia="Wingdings" w:hAnsi="Wingdings"/>
          <w:sz w:val="12"/>
          <w:szCs w:val="12"/>
          <w:b w:val="1"/>
          <w:bCs w:val="1"/>
          <w:color w:val="auto"/>
        </w:rPr>
      </w:pPr>
      <w:r>
        <w:rPr>
          <w:rFonts w:ascii="Arial" w:cs="Arial" w:eastAsia="Arial" w:hAnsi="Arial"/>
          <w:sz w:val="16"/>
          <w:szCs w:val="16"/>
          <w:color w:val="auto"/>
        </w:rPr>
        <w:t>We currently rely on third parties for the manufacture of drug or biological substances for our preclinical studies and clinical trials and expect to continue to do so for commercialization of any product candidates that we may develop that are approved for marketing. Our reliance on third parties may increase the risk that we will not have sufficient quantities of such drug substance, product candidates, or any products that we may develop and commercialize, or that such supply will not be available to us at an acceptable cost, which could delay, prevent, or impair our development or commercialization efforts;</w:t>
      </w:r>
    </w:p>
    <w:p>
      <w:pPr>
        <w:spacing w:after="0" w:line="2" w:lineRule="exact"/>
        <w:rPr>
          <w:rFonts w:ascii="Wingdings" w:cs="Wingdings" w:eastAsia="Wingdings" w:hAnsi="Wingdings"/>
          <w:sz w:val="12"/>
          <w:szCs w:val="12"/>
          <w:b w:val="1"/>
          <w:bCs w:val="1"/>
          <w:color w:val="auto"/>
        </w:rPr>
      </w:pPr>
    </w:p>
    <w:p>
      <w:pPr>
        <w:ind w:left="620" w:hanging="310"/>
        <w:spacing w:after="0" w:line="267" w:lineRule="auto"/>
        <w:tabs>
          <w:tab w:leader="none" w:pos="619" w:val="left"/>
        </w:tabs>
        <w:numPr>
          <w:ilvl w:val="0"/>
          <w:numId w:val="5"/>
        </w:numPr>
        <w:rPr>
          <w:rFonts w:ascii="Wingdings" w:cs="Wingdings" w:eastAsia="Wingdings" w:hAnsi="Wingdings"/>
          <w:sz w:val="12"/>
          <w:szCs w:val="12"/>
          <w:b w:val="1"/>
          <w:bCs w:val="1"/>
          <w:color w:val="auto"/>
        </w:rPr>
      </w:pPr>
      <w:r>
        <w:rPr>
          <w:rFonts w:ascii="Arial" w:cs="Arial" w:eastAsia="Arial" w:hAnsi="Arial"/>
          <w:sz w:val="16"/>
          <w:szCs w:val="16"/>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ind w:left="620" w:hanging="310"/>
        <w:spacing w:after="0"/>
        <w:tabs>
          <w:tab w:leader="none" w:pos="620" w:val="left"/>
        </w:tabs>
        <w:numPr>
          <w:ilvl w:val="0"/>
          <w:numId w:val="5"/>
        </w:numPr>
        <w:rPr>
          <w:rFonts w:ascii="Wingdings" w:cs="Wingdings" w:eastAsia="Wingdings" w:hAnsi="Wingdings"/>
          <w:sz w:val="12"/>
          <w:szCs w:val="12"/>
          <w:b w:val="1"/>
          <w:bCs w:val="1"/>
          <w:color w:val="auto"/>
        </w:rPr>
      </w:pPr>
      <w:r>
        <w:rPr>
          <w:rFonts w:ascii="Arial" w:cs="Arial" w:eastAsia="Arial" w:hAnsi="Arial"/>
          <w:sz w:val="16"/>
          <w:szCs w:val="16"/>
          <w:color w:val="auto"/>
        </w:rPr>
        <w:t>An active and liquid trading market for our common stock may not be sustained; and</w:t>
      </w:r>
    </w:p>
    <w:p>
      <w:pPr>
        <w:spacing w:after="0" w:line="33"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5"/>
        </w:numPr>
        <w:rPr>
          <w:rFonts w:ascii="Wingdings" w:cs="Wingdings" w:eastAsia="Wingdings" w:hAnsi="Wingdings"/>
          <w:sz w:val="12"/>
          <w:szCs w:val="12"/>
          <w:b w:val="1"/>
          <w:bCs w:val="1"/>
          <w:color w:val="auto"/>
        </w:rPr>
      </w:pPr>
      <w:r>
        <w:rPr>
          <w:rFonts w:ascii="Arial" w:cs="Arial" w:eastAsia="Arial" w:hAnsi="Arial"/>
          <w:sz w:val="16"/>
          <w:szCs w:val="16"/>
          <w:color w:val="auto"/>
        </w:rPr>
        <w:t>The market price of our common stock may be volatile, which could result in substantial losses for investors.</w:t>
      </w:r>
    </w:p>
    <w:p>
      <w:pPr>
        <w:spacing w:after="0" w:line="277" w:lineRule="exact"/>
        <w:rPr>
          <w:sz w:val="20"/>
          <w:szCs w:val="20"/>
          <w:color w:val="auto"/>
        </w:rPr>
      </w:pPr>
    </w:p>
    <w:p>
      <w:pPr>
        <w:ind w:right="600"/>
        <w:spacing w:after="0" w:line="307" w:lineRule="auto"/>
        <w:rPr>
          <w:sz w:val="20"/>
          <w:szCs w:val="20"/>
          <w:color w:val="auto"/>
        </w:rPr>
      </w:pPr>
      <w:r>
        <w:rPr>
          <w:rFonts w:ascii="Arial" w:cs="Arial" w:eastAsia="Arial" w:hAnsi="Arial"/>
          <w:sz w:val="16"/>
          <w:szCs w:val="16"/>
          <w:color w:val="auto"/>
        </w:rPr>
        <w:t>The foregoing is only a summary of some of our risks. For a more detailed discussion of these and other risks you should consider before making an investment in our common stock, see “Risk Factors.”</w:t>
      </w:r>
    </w:p>
    <w:p>
      <w:pPr>
        <w:spacing w:after="0" w:line="36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(unaudited)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VERADERMICS,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9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21,766</w:t>
            </w:r>
          </w:p>
        </w:tc>
        <w:tc>
          <w:tcPr>
            <w:tcW w:w="0" w:type="dxa"/>
            <w:vAlign w:val="bottom"/>
          </w:tcPr>
          <w:p>
            <w:pPr>
              <w:spacing w:after="0"/>
              <w:rPr>
                <w:sz w:val="1"/>
                <w:szCs w:val="1"/>
                <w:color w:val="auto"/>
              </w:rPr>
            </w:pP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Marketable securities at fair value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222,385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120,096</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10,632</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397,069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152,494</w:t>
            </w: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assets: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Right-of-use asset and 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non-current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397,356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152,619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2,126</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6,979</w:t>
            </w:r>
          </w:p>
        </w:tc>
        <w:tc>
          <w:tcPr>
            <w:tcW w:w="0" w:type="dxa"/>
            <w:vAlign w:val="bottom"/>
          </w:tcPr>
          <w:p>
            <w:pPr>
              <w:spacing w:after="0"/>
              <w:rPr>
                <w:sz w:val="1"/>
                <w:szCs w:val="1"/>
                <w:color w:val="auto"/>
              </w:rPr>
            </w:pPr>
          </w:p>
        </w:tc>
      </w:tr>
      <w:tr>
        <w:trPr>
          <w:trHeight w:val="218"/>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 and lease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9,152</w:t>
            </w:r>
          </w:p>
        </w:tc>
        <w:tc>
          <w:tcPr>
            <w:tcW w:w="0" w:type="dxa"/>
            <w:vAlign w:val="bottom"/>
          </w:tcPr>
          <w:p>
            <w:pPr>
              <w:spacing w:after="0"/>
              <w:rPr>
                <w:sz w:val="1"/>
                <w:szCs w:val="1"/>
                <w:color w:val="auto"/>
              </w:rPr>
            </w:pPr>
          </w:p>
        </w:tc>
      </w:tr>
      <w:tr>
        <w:trPr>
          <w:trHeight w:val="218"/>
        </w:trPr>
        <w:tc>
          <w:tcPr>
            <w:tcW w:w="8160" w:type="dxa"/>
            <w:vAlign w:val="bottom"/>
          </w:tcPr>
          <w:p>
            <w:pPr>
              <w:ind w:left="180"/>
              <w:spacing w:after="0"/>
              <w:rPr>
                <w:sz w:val="20"/>
                <w:szCs w:val="20"/>
                <w:color w:val="auto"/>
              </w:rPr>
            </w:pPr>
            <w:r>
              <w:rPr>
                <w:rFonts w:ascii="Arial" w:cs="Arial" w:eastAsia="Arial" w:hAnsi="Arial"/>
                <w:sz w:val="17"/>
                <w:szCs w:val="17"/>
                <w:color w:val="auto"/>
              </w:rPr>
              <w:t>Lease liabilities - non-current</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9,156</w:t>
            </w:r>
          </w:p>
        </w:tc>
        <w:tc>
          <w:tcPr>
            <w:tcW w:w="0" w:type="dxa"/>
            <w:vAlign w:val="bottom"/>
          </w:tcPr>
          <w:p>
            <w:pPr>
              <w:spacing w:after="0"/>
              <w:rPr>
                <w:sz w:val="1"/>
                <w:szCs w:val="1"/>
                <w:color w:val="auto"/>
              </w:rPr>
            </w:pPr>
          </w:p>
        </w:tc>
      </w:tr>
      <w:tr>
        <w:trPr>
          <w:trHeight w:val="198"/>
        </w:trPr>
        <w:tc>
          <w:tcPr>
            <w:tcW w:w="8160" w:type="dxa"/>
            <w:vAlign w:val="bottom"/>
          </w:tcPr>
          <w:p>
            <w:pPr>
              <w:ind w:left="180"/>
              <w:spacing w:after="0"/>
              <w:rPr>
                <w:sz w:val="20"/>
                <w:szCs w:val="20"/>
                <w:color w:val="auto"/>
              </w:rPr>
            </w:pPr>
            <w:r>
              <w:rPr>
                <w:rFonts w:ascii="Arial" w:cs="Arial" w:eastAsia="Arial" w:hAnsi="Arial"/>
                <w:sz w:val="17"/>
                <w:szCs w:val="17"/>
                <w:color w:val="auto"/>
              </w:rPr>
              <w:t>Commitments and contingencies (Note 8)</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Redeemable convertible preferred stock:</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160" w:type="dxa"/>
            <w:vAlign w:val="bottom"/>
          </w:tcPr>
          <w:p>
            <w:pPr>
              <w:ind w:left="220"/>
              <w:spacing w:after="0" w:line="167" w:lineRule="exact"/>
              <w:rPr>
                <w:sz w:val="20"/>
                <w:szCs w:val="20"/>
                <w:color w:val="auto"/>
              </w:rPr>
            </w:pPr>
            <w:r>
              <w:rPr>
                <w:rFonts w:ascii="Arial" w:cs="Arial" w:eastAsia="Arial" w:hAnsi="Arial"/>
                <w:sz w:val="17"/>
                <w:szCs w:val="17"/>
                <w:color w:val="auto"/>
              </w:rPr>
              <w:t>Series A preferred stock, $0.00001 par value, 12,865,375 shares authorized, issued and outstanding</w:t>
            </w:r>
          </w:p>
        </w:tc>
        <w:tc>
          <w:tcPr>
            <w:tcW w:w="18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36,860</w:t>
            </w:r>
          </w:p>
        </w:tc>
        <w:tc>
          <w:tcPr>
            <w:tcW w:w="0" w:type="dxa"/>
            <w:vAlign w:val="bottom"/>
          </w:tcPr>
          <w:p>
            <w:pPr>
              <w:spacing w:after="0"/>
              <w:rPr>
                <w:sz w:val="1"/>
                <w:szCs w:val="1"/>
                <w:color w:val="auto"/>
              </w:rPr>
            </w:pPr>
          </w:p>
        </w:tc>
      </w:tr>
      <w:tr>
        <w:trPr>
          <w:trHeight w:val="230"/>
        </w:trPr>
        <w:tc>
          <w:tcPr>
            <w:tcW w:w="8160" w:type="dxa"/>
            <w:vAlign w:val="bottom"/>
          </w:tcPr>
          <w:p>
            <w:pPr>
              <w:ind w:left="380"/>
              <w:spacing w:after="0"/>
              <w:rPr>
                <w:sz w:val="20"/>
                <w:szCs w:val="20"/>
                <w:color w:val="auto"/>
              </w:rPr>
            </w:pPr>
            <w:r>
              <w:rPr>
                <w:rFonts w:ascii="Arial" w:cs="Arial" w:eastAsia="Arial" w:hAnsi="Arial"/>
                <w:sz w:val="17"/>
                <w:szCs w:val="17"/>
                <w:color w:val="auto"/>
              </w:rPr>
              <w:t>with an aggregate liquidation preference of $37,238 as of December 31, 2025, net of issuance costs</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16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Series B preferred stock, $0.00001 par value, 62,245,805 shares authorized, issued and outstanding</w:t>
            </w:r>
          </w:p>
        </w:tc>
        <w:tc>
          <w:tcPr>
            <w:tcW w:w="1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78,903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with an aggregate liquidation preference of $85,376 as of December 31, 2025, net of issuance costs</w:t>
            </w:r>
          </w:p>
        </w:tc>
        <w:tc>
          <w:tcPr>
            <w:tcW w:w="18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160" w:type="dxa"/>
            <w:vAlign w:val="bottom"/>
          </w:tcPr>
          <w:p>
            <w:pPr>
              <w:ind w:left="220"/>
              <w:spacing w:after="0" w:line="167" w:lineRule="exact"/>
              <w:rPr>
                <w:sz w:val="20"/>
                <w:szCs w:val="20"/>
                <w:color w:val="auto"/>
              </w:rPr>
            </w:pPr>
            <w:r>
              <w:rPr>
                <w:rFonts w:ascii="Arial" w:cs="Arial" w:eastAsia="Arial" w:hAnsi="Arial"/>
                <w:sz w:val="17"/>
                <w:szCs w:val="17"/>
                <w:color w:val="auto"/>
              </w:rPr>
              <w:t>Series C preferred stock, $0.00001 par value, 118,682,683 shares authorized, issued and outstanding</w:t>
            </w:r>
          </w:p>
        </w:tc>
        <w:tc>
          <w:tcPr>
            <w:tcW w:w="18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150,563</w:t>
            </w:r>
          </w:p>
        </w:tc>
        <w:tc>
          <w:tcPr>
            <w:tcW w:w="0" w:type="dxa"/>
            <w:vAlign w:val="bottom"/>
          </w:tcPr>
          <w:p>
            <w:pPr>
              <w:spacing w:after="0"/>
              <w:rPr>
                <w:sz w:val="1"/>
                <w:szCs w:val="1"/>
                <w:color w:val="auto"/>
              </w:rPr>
            </w:pPr>
          </w:p>
        </w:tc>
      </w:tr>
      <w:tr>
        <w:trPr>
          <w:trHeight w:val="230"/>
        </w:trPr>
        <w:tc>
          <w:tcPr>
            <w:tcW w:w="8160" w:type="dxa"/>
            <w:vAlign w:val="bottom"/>
          </w:tcPr>
          <w:p>
            <w:pPr>
              <w:ind w:left="380"/>
              <w:spacing w:after="0"/>
              <w:rPr>
                <w:sz w:val="20"/>
                <w:szCs w:val="20"/>
                <w:color w:val="auto"/>
              </w:rPr>
            </w:pPr>
            <w:r>
              <w:rPr>
                <w:rFonts w:ascii="Arial" w:cs="Arial" w:eastAsia="Arial" w:hAnsi="Arial"/>
                <w:sz w:val="17"/>
                <w:szCs w:val="17"/>
                <w:color w:val="auto"/>
              </w:rPr>
              <w:t>with an aggregate liquidation preference of $154,815 as of December 31, 2025, net of issuance costs</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Subscription receivable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w:t>
            </w:r>
          </w:p>
        </w:tc>
        <w:tc>
          <w:tcPr>
            <w:tcW w:w="0" w:type="dxa"/>
            <w:vAlign w:val="bottom"/>
          </w:tcPr>
          <w:p>
            <w:pPr>
              <w:spacing w:after="0"/>
              <w:rPr>
                <w:sz w:val="1"/>
                <w:szCs w:val="1"/>
                <w:color w:val="auto"/>
              </w:rPr>
            </w:pP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b w:val="1"/>
                <w:bCs w:val="1"/>
                <w:color w:val="auto"/>
              </w:rPr>
              <w:t>Stockholders’ equity (deficit)</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16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Preferred stock, $0.00001 par value, 25,000,000 and 0 shares authorized as of March 31, 2026 and</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160" w:type="dxa"/>
            <w:vAlign w:val="bottom"/>
            <w:shd w:val="clear" w:color="auto" w:fill="CCEEFF"/>
          </w:tcPr>
          <w:p>
            <w:pPr>
              <w:ind w:left="380"/>
              <w:spacing w:after="0" w:line="167" w:lineRule="exact"/>
              <w:rPr>
                <w:sz w:val="20"/>
                <w:szCs w:val="20"/>
                <w:color w:val="auto"/>
              </w:rPr>
            </w:pPr>
            <w:r>
              <w:rPr>
                <w:rFonts w:ascii="Arial" w:cs="Arial" w:eastAsia="Arial" w:hAnsi="Arial"/>
                <w:sz w:val="17"/>
                <w:szCs w:val="17"/>
                <w:color w:val="auto"/>
              </w:rPr>
              <w:t>December 31, 2025, respectively and 0 shares issued or outstanding as of March 31, 2026 and</w:t>
            </w:r>
          </w:p>
        </w:tc>
        <w:tc>
          <w:tcPr>
            <w:tcW w:w="1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December 31, 2025, respectively</w:t>
            </w:r>
          </w:p>
        </w:tc>
        <w:tc>
          <w:tcPr>
            <w:tcW w:w="18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08"/>
        </w:trPr>
        <w:tc>
          <w:tcPr>
            <w:tcW w:w="8160" w:type="dxa"/>
            <w:vAlign w:val="bottom"/>
          </w:tcPr>
          <w:p>
            <w:pPr>
              <w:ind w:left="542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16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38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8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92"/>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8"/>
        </w:trPr>
        <w:tc>
          <w:tcPr>
            <w:tcW w:w="8160" w:type="dxa"/>
            <w:vAlign w:val="bottom"/>
          </w:tcPr>
          <w:p>
            <w:pPr>
              <w:ind w:left="220"/>
              <w:spacing w:after="0" w:line="148" w:lineRule="exact"/>
              <w:rPr>
                <w:sz w:val="20"/>
                <w:szCs w:val="20"/>
                <w:color w:val="auto"/>
              </w:rPr>
            </w:pPr>
            <w:r>
              <w:rPr>
                <w:rFonts w:ascii="Arial" w:cs="Arial" w:eastAsia="Arial" w:hAnsi="Arial"/>
                <w:sz w:val="17"/>
                <w:szCs w:val="17"/>
                <w:color w:val="auto"/>
              </w:rPr>
              <w:t>Common stock, $0.00001 par value, 200,000,000 and 267,466,797 shares authorized as of March 31,</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380"/>
              <w:spacing w:after="0" w:line="176" w:lineRule="exact"/>
              <w:rPr>
                <w:sz w:val="20"/>
                <w:szCs w:val="20"/>
                <w:color w:val="auto"/>
              </w:rPr>
            </w:pPr>
            <w:r>
              <w:rPr>
                <w:rFonts w:ascii="Arial" w:cs="Arial" w:eastAsia="Arial" w:hAnsi="Arial"/>
                <w:sz w:val="17"/>
                <w:szCs w:val="17"/>
                <w:color w:val="auto"/>
              </w:rPr>
              <w:t>2026 and December 31, 2025, respectively and 37,340,290 and 749,760 shares issued and</w:t>
            </w: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8160" w:type="dxa"/>
            <w:vAlign w:val="bottom"/>
          </w:tcPr>
          <w:p>
            <w:pPr>
              <w:ind w:left="380"/>
              <w:spacing w:after="0"/>
              <w:rPr>
                <w:sz w:val="20"/>
                <w:szCs w:val="20"/>
                <w:color w:val="auto"/>
              </w:rPr>
            </w:pPr>
            <w:r>
              <w:rPr>
                <w:rFonts w:ascii="Arial" w:cs="Arial" w:eastAsia="Arial" w:hAnsi="Arial"/>
                <w:sz w:val="17"/>
                <w:szCs w:val="17"/>
                <w:color w:val="auto"/>
              </w:rPr>
              <w:t>outstanding as of March 31, 2026 and December 31, 2025, respectively</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543,044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0" w:type="dxa"/>
            <w:vAlign w:val="bottom"/>
          </w:tcPr>
          <w:p>
            <w:pPr>
              <w:spacing w:after="0"/>
              <w:rPr>
                <w:sz w:val="1"/>
                <w:szCs w:val="1"/>
                <w:color w:val="auto"/>
              </w:rPr>
            </w:pP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Subscription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deficit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(150,653)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(123,421)</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stockholders’ equity (deficit)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390,640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(121,014)</w:t>
            </w:r>
          </w:p>
        </w:tc>
        <w:tc>
          <w:tcPr>
            <w:tcW w:w="0" w:type="dxa"/>
            <w:vAlign w:val="bottom"/>
          </w:tcPr>
          <w:p>
            <w:pPr>
              <w:spacing w:after="0"/>
              <w:rPr>
                <w:sz w:val="1"/>
                <w:szCs w:val="1"/>
                <w:color w:val="auto"/>
              </w:rPr>
            </w:pPr>
          </w:p>
        </w:tc>
      </w:tr>
      <w:tr>
        <w:trPr>
          <w:trHeight w:val="210"/>
        </w:trPr>
        <w:tc>
          <w:tcPr>
            <w:tcW w:w="8160" w:type="dxa"/>
            <w:vAlign w:val="bottom"/>
          </w:tcPr>
          <w:p>
            <w:pPr>
              <w:ind w:left="420"/>
              <w:spacing w:after="0"/>
              <w:rPr>
                <w:sz w:val="20"/>
                <w:szCs w:val="20"/>
                <w:color w:val="auto"/>
              </w:rPr>
            </w:pPr>
            <w:r>
              <w:rPr>
                <w:rFonts w:ascii="Arial" w:cs="Arial" w:eastAsia="Arial" w:hAnsi="Arial"/>
                <w:sz w:val="17"/>
                <w:szCs w:val="17"/>
                <w:color w:val="auto"/>
              </w:rPr>
              <w:t>Total liabilities, redeemable convertible preferred stock, and stockholders’ equity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397,356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152,619</w:t>
            </w:r>
          </w:p>
        </w:tc>
        <w:tc>
          <w:tcPr>
            <w:tcW w:w="0" w:type="dxa"/>
            <w:vAlign w:val="bottom"/>
          </w:tcPr>
          <w:p>
            <w:pPr>
              <w:spacing w:after="0"/>
              <w:rPr>
                <w:sz w:val="1"/>
                <w:szCs w:val="1"/>
                <w:color w:val="auto"/>
              </w:rPr>
            </w:pPr>
          </w:p>
        </w:tc>
      </w:tr>
      <w:tr>
        <w:trPr>
          <w:trHeight w:val="45"/>
        </w:trPr>
        <w:tc>
          <w:tcPr>
            <w:tcW w:w="8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VERADERMICS,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20,925</w:t>
            </w:r>
          </w:p>
        </w:tc>
        <w:tc>
          <w:tcPr>
            <w:tcW w:w="8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11,447</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1,468</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29,862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12,915</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(12,915)</w:t>
            </w:r>
          </w:p>
        </w:tc>
        <w:tc>
          <w:tcPr>
            <w:tcW w:w="0" w:type="dxa"/>
            <w:vAlign w:val="bottom"/>
          </w:tcPr>
          <w:p>
            <w:pPr>
              <w:spacing w:after="0"/>
              <w:rPr>
                <w:sz w:val="1"/>
                <w:szCs w:val="1"/>
                <w:color w:val="auto"/>
              </w:rPr>
            </w:pP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18"/>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(27,232)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(12,400)</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(27,232)</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(12,400)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(30,011)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tcPr>
          <w:p>
            <w:pPr>
              <w:ind w:left="20"/>
              <w:spacing w:after="0" w:line="189" w:lineRule="exact"/>
              <w:rPr>
                <w:sz w:val="20"/>
                <w:szCs w:val="20"/>
                <w:color w:val="auto"/>
              </w:rPr>
            </w:pPr>
            <w:r>
              <w:rPr>
                <w:rFonts w:ascii="Arial" w:cs="Arial" w:eastAsia="Arial" w:hAnsi="Arial"/>
                <w:sz w:val="17"/>
                <w:szCs w:val="17"/>
                <w:color w:val="auto"/>
              </w:rPr>
              <w:t>Net loss per share of common stock, basic and diluted</w:t>
            </w:r>
          </w:p>
        </w:tc>
        <w:tc>
          <w:tcPr>
            <w:tcW w:w="3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(1.32)</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(19.79)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stock outstanding, 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22,704,124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736,933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unrealized losses on marketable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other comprehensive loss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loss</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(27,816)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(12,400)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 w:name="page11"/>
    <w:bookmarkEnd w:id="10"/>
    <w:p>
      <w:pPr>
        <w:ind w:left="4320"/>
        <w:spacing w:after="0"/>
        <w:rPr>
          <w:sz w:val="20"/>
          <w:szCs w:val="20"/>
          <w:color w:val="auto"/>
        </w:rPr>
      </w:pPr>
      <w:r>
        <w:rPr>
          <w:rFonts w:ascii="Arial" w:cs="Arial" w:eastAsia="Arial" w:hAnsi="Arial"/>
          <w:sz w:val="16"/>
          <w:szCs w:val="16"/>
          <w:b w:val="1"/>
          <w:bCs w:val="1"/>
          <w:color w:val="auto"/>
        </w:rPr>
        <w:t>VERADERMICS, INCORPORATED</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Condensed Consolidated Statements of Changes in Redeemable Convertible Preferred Stock and Stockholders’ Equity (Deficit)</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420" w:type="dxa"/>
            <w:vAlign w:val="bottom"/>
            <w:tcBorders>
              <w:top w:val="single" w:sz="8" w:color="auto"/>
              <w:bottom w:val="single" w:sz="8" w:color="auto"/>
            </w:tcBorders>
            <w:gridSpan w:val="7"/>
          </w:tcPr>
          <w:p>
            <w:pPr>
              <w:jc w:val="right"/>
              <w:ind w:right="80"/>
              <w:spacing w:after="0"/>
              <w:rPr>
                <w:sz w:val="20"/>
                <w:szCs w:val="20"/>
                <w:color w:val="auto"/>
              </w:rPr>
            </w:pPr>
            <w:r>
              <w:rPr>
                <w:rFonts w:ascii="Arial" w:cs="Arial" w:eastAsia="Arial" w:hAnsi="Arial"/>
                <w:sz w:val="12"/>
                <w:szCs w:val="12"/>
                <w:b w:val="1"/>
                <w:bCs w:val="1"/>
                <w:color w:val="auto"/>
                <w:w w:val="99"/>
              </w:rPr>
              <w:t>Redeemable Convertible Preferred Stock</w:t>
            </w:r>
          </w:p>
        </w:tc>
        <w:tc>
          <w:tcPr>
            <w:tcW w:w="26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gridSpan w:val="6"/>
          </w:tcPr>
          <w:p>
            <w:pPr>
              <w:ind w:left="180"/>
              <w:spacing w:after="0"/>
              <w:rPr>
                <w:sz w:val="20"/>
                <w:szCs w:val="20"/>
                <w:color w:val="auto"/>
              </w:rPr>
            </w:pPr>
            <w:r>
              <w:rPr>
                <w:rFonts w:ascii="Arial" w:cs="Arial" w:eastAsia="Arial" w:hAnsi="Arial"/>
                <w:sz w:val="12"/>
                <w:szCs w:val="12"/>
                <w:b w:val="1"/>
                <w:bCs w:val="1"/>
                <w:color w:val="auto"/>
                <w:w w:val="98"/>
              </w:rPr>
              <w:t>Stockholders' Equity (Deficit)</w:t>
            </w:r>
          </w:p>
        </w:tc>
        <w:tc>
          <w:tcPr>
            <w:tcW w:w="5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Series A Redeemable</w:t>
            </w:r>
          </w:p>
        </w:tc>
        <w:tc>
          <w:tcPr>
            <w:tcW w:w="80" w:type="dxa"/>
            <w:vAlign w:val="bottom"/>
          </w:tcPr>
          <w:p>
            <w:pPr>
              <w:spacing w:after="0"/>
              <w:rPr>
                <w:sz w:val="12"/>
                <w:szCs w:val="12"/>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8"/>
              </w:rPr>
              <w:t>Series B Redeemable</w:t>
            </w:r>
          </w:p>
        </w:tc>
        <w:tc>
          <w:tcPr>
            <w:tcW w:w="150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C Redeemable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142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9"/>
              </w:rPr>
              <w:t>Convertible Preferred</w:t>
            </w:r>
          </w:p>
        </w:tc>
        <w:tc>
          <w:tcPr>
            <w:tcW w:w="80" w:type="dxa"/>
            <w:vAlign w:val="bottom"/>
          </w:tcPr>
          <w:p>
            <w:pPr>
              <w:spacing w:after="0"/>
              <w:rPr>
                <w:sz w:val="10"/>
                <w:szCs w:val="10"/>
                <w:color w:val="auto"/>
              </w:rPr>
            </w:pPr>
          </w:p>
        </w:tc>
        <w:tc>
          <w:tcPr>
            <w:tcW w:w="1520" w:type="dxa"/>
            <w:vAlign w:val="bottom"/>
            <w:gridSpan w:val="4"/>
          </w:tcPr>
          <w:p>
            <w:pPr>
              <w:jc w:val="center"/>
              <w:ind w:right="100"/>
              <w:spacing w:after="0" w:line="115" w:lineRule="exact"/>
              <w:rPr>
                <w:sz w:val="20"/>
                <w:szCs w:val="20"/>
                <w:color w:val="auto"/>
              </w:rPr>
            </w:pPr>
            <w:r>
              <w:rPr>
                <w:rFonts w:ascii="Arial" w:cs="Arial" w:eastAsia="Arial" w:hAnsi="Arial"/>
                <w:sz w:val="12"/>
                <w:szCs w:val="12"/>
                <w:b w:val="1"/>
                <w:bCs w:val="1"/>
                <w:color w:val="auto"/>
                <w:w w:val="99"/>
              </w:rPr>
              <w:t>Convertible Preferred</w:t>
            </w:r>
          </w:p>
        </w:tc>
        <w:tc>
          <w:tcPr>
            <w:tcW w:w="1500" w:type="dxa"/>
            <w:vAlign w:val="bottom"/>
            <w:gridSpan w:val="5"/>
          </w:tcPr>
          <w:p>
            <w:pPr>
              <w:ind w:left="100"/>
              <w:spacing w:after="0" w:line="115" w:lineRule="exact"/>
              <w:rPr>
                <w:sz w:val="20"/>
                <w:szCs w:val="20"/>
                <w:color w:val="auto"/>
              </w:rPr>
            </w:pPr>
            <w:r>
              <w:rPr>
                <w:rFonts w:ascii="Arial" w:cs="Arial" w:eastAsia="Arial" w:hAnsi="Arial"/>
                <w:sz w:val="12"/>
                <w:szCs w:val="12"/>
                <w:b w:val="1"/>
                <w:bCs w:val="1"/>
                <w:color w:val="auto"/>
              </w:rPr>
              <w:t>Convertible Preferred</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Stock</w:t>
            </w:r>
          </w:p>
        </w:tc>
        <w:tc>
          <w:tcPr>
            <w:tcW w:w="80" w:type="dxa"/>
            <w:vAlign w:val="bottom"/>
          </w:tcPr>
          <w:p>
            <w:pPr>
              <w:spacing w:after="0"/>
              <w:rPr>
                <w:sz w:val="15"/>
                <w:szCs w:val="15"/>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Stock</w:t>
            </w:r>
          </w:p>
        </w:tc>
        <w:tc>
          <w:tcPr>
            <w:tcW w:w="1080" w:type="dxa"/>
            <w:vAlign w:val="bottom"/>
            <w:gridSpan w:val="3"/>
          </w:tcPr>
          <w:p>
            <w:pPr>
              <w:ind w:left="540"/>
              <w:spacing w:after="0"/>
              <w:rPr>
                <w:sz w:val="20"/>
                <w:szCs w:val="20"/>
                <w:color w:val="auto"/>
              </w:rPr>
            </w:pPr>
            <w:r>
              <w:rPr>
                <w:rFonts w:ascii="Arial" w:cs="Arial" w:eastAsia="Arial" w:hAnsi="Arial"/>
                <w:sz w:val="12"/>
                <w:szCs w:val="12"/>
                <w:b w:val="1"/>
                <w:bCs w:val="1"/>
                <w:color w:val="auto"/>
              </w:rPr>
              <w:t>Stock</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Accumulated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95"/>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5"/>
        </w:trPr>
        <w:tc>
          <w:tcPr>
            <w:tcW w:w="1140" w:type="dxa"/>
            <w:vAlign w:val="bottom"/>
          </w:tcPr>
          <w:p>
            <w:pPr>
              <w:ind w:left="20"/>
              <w:spacing w:after="0" w:line="95" w:lineRule="exact"/>
              <w:rPr>
                <w:sz w:val="20"/>
                <w:szCs w:val="20"/>
                <w:color w:val="auto"/>
              </w:rPr>
            </w:pPr>
            <w:r>
              <w:rPr>
                <w:rFonts w:ascii="Arial" w:cs="Arial" w:eastAsia="Arial" w:hAnsi="Arial"/>
                <w:sz w:val="11"/>
                <w:szCs w:val="11"/>
                <w:b w:val="1"/>
                <w:bCs w:val="1"/>
                <w:color w:val="auto"/>
              </w:rPr>
              <w:t>(in thousands,</w:t>
            </w: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ind w:left="20"/>
              <w:spacing w:after="0" w:line="95"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8"/>
                <w:szCs w:val="8"/>
                <w:color w:val="auto"/>
              </w:rPr>
            </w:pPr>
          </w:p>
        </w:tc>
        <w:tc>
          <w:tcPr>
            <w:tcW w:w="920" w:type="dxa"/>
            <w:vAlign w:val="bottom"/>
            <w:gridSpan w:val="2"/>
          </w:tcPr>
          <w:p>
            <w:pPr>
              <w:jc w:val="center"/>
              <w:ind w:right="160"/>
              <w:spacing w:after="0" w:line="95" w:lineRule="exact"/>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spacing w:after="0" w:line="95"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41"/>
        </w:trPr>
        <w:tc>
          <w:tcPr>
            <w:tcW w:w="1140" w:type="dxa"/>
            <w:vAlign w:val="bottom"/>
          </w:tcPr>
          <w:p>
            <w:pPr>
              <w:ind w:left="20"/>
              <w:spacing w:after="0"/>
              <w:rPr>
                <w:sz w:val="20"/>
                <w:szCs w:val="20"/>
                <w:color w:val="auto"/>
              </w:rPr>
            </w:pPr>
            <w:r>
              <w:rPr>
                <w:rFonts w:ascii="Arial" w:cs="Arial" w:eastAsia="Arial" w:hAnsi="Arial"/>
                <w:sz w:val="12"/>
                <w:szCs w:val="12"/>
                <w:b w:val="1"/>
                <w:bCs w:val="1"/>
                <w:color w:val="auto"/>
              </w:rPr>
              <w:t>except share</w:t>
            </w: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00" w:type="dxa"/>
            <w:vAlign w:val="bottom"/>
            <w:vMerge w:val="restart"/>
          </w:tcPr>
          <w:p>
            <w:pPr>
              <w:jc w:val="right"/>
              <w:ind w:right="13"/>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20"/>
              <w:spacing w:after="0"/>
              <w:rPr>
                <w:sz w:val="20"/>
                <w:szCs w:val="20"/>
                <w:color w:val="auto"/>
              </w:rPr>
            </w:pPr>
            <w:r>
              <w:rPr>
                <w:rFonts w:ascii="Arial" w:cs="Arial" w:eastAsia="Arial" w:hAnsi="Arial"/>
                <w:sz w:val="10"/>
                <w:szCs w:val="10"/>
                <w:b w:val="1"/>
                <w:bCs w:val="1"/>
                <w:color w:val="auto"/>
              </w:rPr>
              <w:t>Subscription</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Paid-In</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Comprehensive</w:t>
            </w:r>
          </w:p>
        </w:tc>
        <w:tc>
          <w:tcPr>
            <w:tcW w:w="86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8"/>
              </w:rPr>
              <w:t>Accumulated</w:t>
            </w:r>
          </w:p>
        </w:tc>
        <w:tc>
          <w:tcPr>
            <w:tcW w:w="160" w:type="dxa"/>
            <w:vAlign w:val="bottom"/>
          </w:tcPr>
          <w:p>
            <w:pPr>
              <w:spacing w:after="0"/>
              <w:rPr>
                <w:sz w:val="12"/>
                <w:szCs w:val="12"/>
                <w:color w:val="auto"/>
              </w:rPr>
            </w:pPr>
          </w:p>
        </w:tc>
        <w:tc>
          <w:tcPr>
            <w:tcW w:w="680" w:type="dxa"/>
            <w:vAlign w:val="bottom"/>
          </w:tcPr>
          <w:p>
            <w:pPr>
              <w:jc w:val="center"/>
              <w:ind w:right="95"/>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2"/>
                <w:szCs w:val="12"/>
                <w:b w:val="1"/>
                <w:bCs w:val="1"/>
                <w:color w:val="auto"/>
              </w:rPr>
              <w:t>amounts)</w:t>
            </w:r>
          </w:p>
        </w:tc>
        <w:tc>
          <w:tcPr>
            <w:tcW w:w="8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0"/>
                <w:szCs w:val="10"/>
                <w:b w:val="1"/>
                <w:bCs w:val="1"/>
                <w:color w:val="auto"/>
              </w:rPr>
              <w:t>Receivable</w:t>
            </w:r>
          </w:p>
        </w:tc>
        <w:tc>
          <w:tcPr>
            <w:tcW w:w="66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0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Income (Loss)</w:t>
            </w:r>
          </w:p>
        </w:tc>
        <w:tc>
          <w:tcPr>
            <w:tcW w:w="2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3"/>
                <w:szCs w:val="13"/>
                <w:color w:val="auto"/>
              </w:rPr>
            </w:pPr>
          </w:p>
        </w:tc>
        <w:tc>
          <w:tcPr>
            <w:tcW w:w="680" w:type="dxa"/>
            <w:vAlign w:val="bottom"/>
          </w:tcPr>
          <w:p>
            <w:pPr>
              <w:jc w:val="center"/>
              <w:ind w:right="95"/>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121"/>
        </w:trPr>
        <w:tc>
          <w:tcPr>
            <w:tcW w:w="1140" w:type="dxa"/>
            <w:vAlign w:val="bottom"/>
            <w:tcBorders>
              <w:top w:val="single" w:sz="8" w:color="CCEEFF"/>
            </w:tcBorders>
            <w:shd w:val="clear" w:color="auto" w:fill="CCEEFF"/>
          </w:tcPr>
          <w:p>
            <w:pPr>
              <w:ind w:left="20"/>
              <w:spacing w:after="0" w:line="121" w:lineRule="exact"/>
              <w:rPr>
                <w:sz w:val="20"/>
                <w:szCs w:val="20"/>
                <w:color w:val="auto"/>
              </w:rPr>
            </w:pPr>
            <w:r>
              <w:rPr>
                <w:rFonts w:ascii="Arial" w:cs="Arial" w:eastAsia="Arial" w:hAnsi="Arial"/>
                <w:sz w:val="14"/>
                <w:szCs w:val="14"/>
                <w:b w:val="1"/>
                <w:bCs w:val="1"/>
                <w:color w:val="auto"/>
              </w:rPr>
              <w:t>Balance,</w:t>
            </w: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shd w:val="clear" w:color="auto" w:fill="CCEEFF"/>
          </w:tcPr>
          <w:p>
            <w:pPr>
              <w:ind w:left="180"/>
              <w:spacing w:after="0" w:line="131" w:lineRule="exact"/>
              <w:rPr>
                <w:sz w:val="20"/>
                <w:szCs w:val="20"/>
                <w:color w:val="auto"/>
              </w:rPr>
            </w:pPr>
            <w:r>
              <w:rPr>
                <w:rFonts w:ascii="Arial" w:cs="Arial" w:eastAsia="Arial" w:hAnsi="Arial"/>
                <w:sz w:val="14"/>
                <w:szCs w:val="14"/>
                <w:b w:val="1"/>
                <w:bCs w:val="1"/>
                <w:color w:val="auto"/>
              </w:rPr>
              <w:t>December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12,865,375</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$ 36,860</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55,246,971</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$ 66,285</w:t>
            </w: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95"/>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(3,848)</w:t>
            </w: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736,933</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(49,231)</w:t>
            </w:r>
          </w:p>
        </w:tc>
        <w:tc>
          <w:tcPr>
            <w:tcW w:w="6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(48,480)</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2024</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80"/>
              <w:spacing w:after="0" w:line="133" w:lineRule="exact"/>
              <w:rPr>
                <w:sz w:val="20"/>
                <w:szCs w:val="20"/>
                <w:color w:val="auto"/>
              </w:rPr>
            </w:pPr>
            <w:r>
              <w:rPr>
                <w:rFonts w:ascii="Arial" w:cs="Arial" w:eastAsia="Arial" w:hAnsi="Arial"/>
                <w:sz w:val="14"/>
                <w:szCs w:val="14"/>
                <w:color w:val="auto"/>
              </w:rPr>
              <w:t>Series B</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180"/>
              <w:spacing w:after="0" w:line="141" w:lineRule="exact"/>
              <w:rPr>
                <w:sz w:val="20"/>
                <w:szCs w:val="20"/>
                <w:color w:val="auto"/>
              </w:rPr>
            </w:pPr>
            <w:r>
              <w:rPr>
                <w:rFonts w:ascii="Arial" w:cs="Arial" w:eastAsia="Arial" w:hAnsi="Arial"/>
                <w:sz w:val="14"/>
                <w:szCs w:val="14"/>
                <w:color w:val="auto"/>
              </w:rPr>
              <w:t>Redeemable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180"/>
              <w:spacing w:after="0" w:line="136" w:lineRule="exact"/>
              <w:rPr>
                <w:sz w:val="20"/>
                <w:szCs w:val="20"/>
                <w:color w:val="auto"/>
              </w:rPr>
            </w:pPr>
            <w:r>
              <w:rPr>
                <w:rFonts w:ascii="Arial" w:cs="Arial" w:eastAsia="Arial" w:hAnsi="Arial"/>
                <w:sz w:val="14"/>
                <w:szCs w:val="14"/>
                <w:color w:val="auto"/>
              </w:rPr>
              <w:t>Convertible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80"/>
              <w:spacing w:after="0" w:line="133" w:lineRule="exact"/>
              <w:rPr>
                <w:sz w:val="20"/>
                <w:szCs w:val="20"/>
                <w:color w:val="auto"/>
              </w:rPr>
            </w:pPr>
            <w:r>
              <w:rPr>
                <w:rFonts w:ascii="Arial" w:cs="Arial" w:eastAsia="Arial" w:hAnsi="Arial"/>
                <w:sz w:val="14"/>
                <w:szCs w:val="14"/>
                <w:color w:val="auto"/>
              </w:rPr>
              <w:t>Preferred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180"/>
              <w:spacing w:after="0" w:line="141" w:lineRule="exact"/>
              <w:rPr>
                <w:sz w:val="20"/>
                <w:szCs w:val="20"/>
                <w:color w:val="auto"/>
              </w:rPr>
            </w:pPr>
            <w:r>
              <w:rPr>
                <w:rFonts w:ascii="Arial" w:cs="Arial" w:eastAsia="Arial" w:hAnsi="Arial"/>
                <w:sz w:val="14"/>
                <w:szCs w:val="14"/>
                <w:color w:val="auto"/>
              </w:rPr>
              <w:t>Stock, net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180"/>
              <w:spacing w:after="0" w:line="136" w:lineRule="exact"/>
              <w:rPr>
                <w:sz w:val="20"/>
                <w:szCs w:val="20"/>
                <w:color w:val="auto"/>
              </w:rPr>
            </w:pPr>
            <w:r>
              <w:rPr>
                <w:rFonts w:ascii="Arial" w:cs="Arial" w:eastAsia="Arial" w:hAnsi="Arial"/>
                <w:sz w:val="14"/>
                <w:szCs w:val="14"/>
                <w:color w:val="auto"/>
              </w:rPr>
              <w:t>issuance costs</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6,998,834</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8,423</w:t>
            </w:r>
          </w:p>
        </w:tc>
        <w:tc>
          <w:tcPr>
            <w:tcW w:w="8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140" w:type="dxa"/>
            <w:vAlign w:val="bottom"/>
          </w:tcPr>
          <w:p>
            <w:pPr>
              <w:ind w:left="180"/>
              <w:spacing w:after="0"/>
              <w:rPr>
                <w:sz w:val="20"/>
                <w:szCs w:val="20"/>
                <w:color w:val="auto"/>
              </w:rPr>
            </w:pPr>
            <w:r>
              <w:rPr>
                <w:rFonts w:ascii="Arial" w:cs="Arial" w:eastAsia="Arial" w:hAnsi="Arial"/>
                <w:sz w:val="14"/>
                <w:szCs w:val="14"/>
                <w:color w:val="auto"/>
              </w:rPr>
              <w:t>of $10</w:t>
            </w:r>
          </w:p>
        </w:tc>
        <w:tc>
          <w:tcPr>
            <w:tcW w:w="8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Subscription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receivable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4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settled through</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EEFF"/>
          </w:tcPr>
          <w:p>
            <w:pPr>
              <w:ind w:left="180"/>
              <w:spacing w:after="0" w:line="136" w:lineRule="exact"/>
              <w:rPr>
                <w:sz w:val="20"/>
                <w:szCs w:val="20"/>
                <w:color w:val="auto"/>
              </w:rPr>
            </w:pPr>
            <w:r>
              <w:rPr>
                <w:rFonts w:ascii="Arial" w:cs="Arial" w:eastAsia="Arial" w:hAnsi="Arial"/>
                <w:sz w:val="14"/>
                <w:szCs w:val="14"/>
                <w:color w:val="auto"/>
              </w:rPr>
              <w:t>research and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development</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4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services</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received</w:t>
            </w:r>
          </w:p>
        </w:tc>
        <w:tc>
          <w:tcPr>
            <w:tcW w:w="82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Stock-based</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79"/>
        </w:trPr>
        <w:tc>
          <w:tcPr>
            <w:tcW w:w="114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8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(12,400)</w:t>
            </w: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121"/>
        </w:trPr>
        <w:tc>
          <w:tcPr>
            <w:tcW w:w="1140" w:type="dxa"/>
            <w:vAlign w:val="bottom"/>
          </w:tcPr>
          <w:p>
            <w:pPr>
              <w:ind w:left="20"/>
              <w:spacing w:after="0" w:line="121" w:lineRule="exact"/>
              <w:rPr>
                <w:sz w:val="20"/>
                <w:szCs w:val="20"/>
                <w:color w:val="auto"/>
              </w:rPr>
            </w:pPr>
            <w:r>
              <w:rPr>
                <w:rFonts w:ascii="Arial" w:cs="Arial" w:eastAsia="Arial" w:hAnsi="Arial"/>
                <w:sz w:val="14"/>
                <w:szCs w:val="14"/>
                <w:b w:val="1"/>
                <w:bCs w:val="1"/>
                <w:color w:val="auto"/>
              </w:rPr>
              <w:t>Balance, March</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12,865,375</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5"/>
              </w:rPr>
              <w:t>$ 36,860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62,245,805</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5"/>
              </w:rPr>
              <w:t>$ 74,708</w:t>
            </w:r>
          </w:p>
        </w:tc>
        <w:tc>
          <w:tcPr>
            <w:tcW w:w="80" w:type="dxa"/>
            <w:vAlign w:val="bottom"/>
          </w:tcPr>
          <w:p>
            <w:pPr>
              <w:spacing w:after="0"/>
              <w:rPr>
                <w:sz w:val="10"/>
                <w:szCs w:val="10"/>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95"/>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736,933</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963</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9"/>
              </w:rPr>
              <w:t>(61,631)</w:t>
            </w:r>
          </w:p>
        </w:tc>
        <w:tc>
          <w:tcPr>
            <w:tcW w:w="6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(60,667)</w:t>
            </w:r>
          </w:p>
        </w:tc>
        <w:tc>
          <w:tcPr>
            <w:tcW w:w="0" w:type="dxa"/>
            <w:vAlign w:val="bottom"/>
          </w:tcPr>
          <w:p>
            <w:pPr>
              <w:spacing w:after="0"/>
              <w:rPr>
                <w:sz w:val="1"/>
                <w:szCs w:val="1"/>
                <w:color w:val="auto"/>
              </w:rPr>
            </w:pPr>
          </w:p>
        </w:tc>
      </w:tr>
      <w:tr>
        <w:trPr>
          <w:trHeight w:val="154"/>
        </w:trPr>
        <w:tc>
          <w:tcPr>
            <w:tcW w:w="1140" w:type="dxa"/>
            <w:vAlign w:val="bottom"/>
          </w:tcPr>
          <w:p>
            <w:pPr>
              <w:ind w:left="180"/>
              <w:spacing w:after="0" w:line="154" w:lineRule="exact"/>
              <w:rPr>
                <w:sz w:val="20"/>
                <w:szCs w:val="20"/>
                <w:color w:val="auto"/>
              </w:rPr>
            </w:pPr>
            <w:r>
              <w:rPr>
                <w:rFonts w:ascii="Arial" w:cs="Arial" w:eastAsia="Arial" w:hAnsi="Arial"/>
                <w:sz w:val="14"/>
                <w:szCs w:val="14"/>
                <w:b w:val="1"/>
                <w:bCs w:val="1"/>
                <w:color w:val="auto"/>
              </w:rPr>
              <w:t>31, 2025</w:t>
            </w: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140" w:type="dxa"/>
            <w:vAlign w:val="bottom"/>
            <w:tcBorders>
              <w:bottom w:val="single" w:sz="8" w:color="CCEEFF"/>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40"/>
          </w:cols>
          <w:pgMar w:left="320" w:top="1091" w:right="5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0"/>
        </w:trPr>
        <w:tc>
          <w:tcPr>
            <w:tcW w:w="98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0" w:type="dxa"/>
            <w:vAlign w:val="bottom"/>
            <w:tcBorders>
              <w:top w:val="single" w:sz="8" w:color="auto"/>
              <w:bottom w:val="single" w:sz="8" w:color="auto"/>
            </w:tcBorders>
            <w:gridSpan w:val="7"/>
          </w:tcPr>
          <w:p>
            <w:pPr>
              <w:jc w:val="center"/>
              <w:ind w:right="100"/>
              <w:spacing w:after="0"/>
              <w:rPr>
                <w:sz w:val="20"/>
                <w:szCs w:val="20"/>
                <w:color w:val="auto"/>
              </w:rPr>
            </w:pPr>
            <w:r>
              <w:rPr>
                <w:rFonts w:ascii="Arial" w:cs="Arial" w:eastAsia="Arial" w:hAnsi="Arial"/>
                <w:sz w:val="10"/>
                <w:szCs w:val="10"/>
                <w:b w:val="1"/>
                <w:bCs w:val="1"/>
                <w:color w:val="auto"/>
              </w:rPr>
              <w:t>Redeemable Convertible Preferred Stock</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40" w:type="dxa"/>
            <w:vAlign w:val="bottom"/>
            <w:tcBorders>
              <w:top w:val="single" w:sz="8" w:color="auto"/>
              <w:bottom w:val="single" w:sz="8" w:color="auto"/>
            </w:tcBorders>
            <w:gridSpan w:val="8"/>
          </w:tcPr>
          <w:p>
            <w:pPr>
              <w:ind w:left="480"/>
              <w:spacing w:after="0"/>
              <w:rPr>
                <w:sz w:val="20"/>
                <w:szCs w:val="20"/>
                <w:color w:val="auto"/>
              </w:rPr>
            </w:pPr>
            <w:r>
              <w:rPr>
                <w:rFonts w:ascii="Arial" w:cs="Arial" w:eastAsia="Arial" w:hAnsi="Arial"/>
                <w:sz w:val="10"/>
                <w:szCs w:val="10"/>
                <w:b w:val="1"/>
                <w:bCs w:val="1"/>
                <w:color w:val="auto"/>
              </w:rPr>
              <w:t>Stockholders' Equity (Deficit)</w:t>
            </w:r>
          </w:p>
        </w:tc>
        <w:tc>
          <w:tcPr>
            <w:tcW w:w="6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14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Series A Redeemable</w:t>
            </w:r>
          </w:p>
        </w:tc>
        <w:tc>
          <w:tcPr>
            <w:tcW w:w="14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Series B Redeemable</w:t>
            </w:r>
          </w:p>
        </w:tc>
        <w:tc>
          <w:tcPr>
            <w:tcW w:w="1320" w:type="dxa"/>
            <w:vAlign w:val="bottom"/>
            <w:gridSpan w:val="3"/>
          </w:tcPr>
          <w:p>
            <w:pPr>
              <w:ind w:left="260"/>
              <w:spacing w:after="0"/>
              <w:rPr>
                <w:sz w:val="20"/>
                <w:szCs w:val="20"/>
                <w:color w:val="auto"/>
              </w:rPr>
            </w:pPr>
            <w:r>
              <w:rPr>
                <w:rFonts w:ascii="Arial" w:cs="Arial" w:eastAsia="Arial" w:hAnsi="Arial"/>
                <w:sz w:val="10"/>
                <w:szCs w:val="10"/>
                <w:b w:val="1"/>
                <w:bCs w:val="1"/>
                <w:color w:val="auto"/>
              </w:rPr>
              <w:t>Series C Redeemable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480" w:type="dxa"/>
            <w:vAlign w:val="bottom"/>
            <w:gridSpan w:val="5"/>
          </w:tcPr>
          <w:p>
            <w:pPr>
              <w:jc w:val="center"/>
              <w:ind w:right="60"/>
              <w:spacing w:after="0" w:line="103" w:lineRule="exact"/>
              <w:rPr>
                <w:sz w:val="20"/>
                <w:szCs w:val="20"/>
                <w:color w:val="auto"/>
              </w:rPr>
            </w:pPr>
            <w:r>
              <w:rPr>
                <w:rFonts w:ascii="Arial" w:cs="Arial" w:eastAsia="Arial" w:hAnsi="Arial"/>
                <w:sz w:val="10"/>
                <w:szCs w:val="10"/>
                <w:b w:val="1"/>
                <w:bCs w:val="1"/>
                <w:color w:val="auto"/>
              </w:rPr>
              <w:t>Convertible Preferred</w:t>
            </w:r>
          </w:p>
        </w:tc>
        <w:tc>
          <w:tcPr>
            <w:tcW w:w="1480" w:type="dxa"/>
            <w:vAlign w:val="bottom"/>
            <w:gridSpan w:val="5"/>
          </w:tcPr>
          <w:p>
            <w:pPr>
              <w:jc w:val="center"/>
              <w:ind w:right="80"/>
              <w:spacing w:after="0" w:line="103" w:lineRule="exact"/>
              <w:rPr>
                <w:sz w:val="20"/>
                <w:szCs w:val="20"/>
                <w:color w:val="auto"/>
              </w:rPr>
            </w:pPr>
            <w:r>
              <w:rPr>
                <w:rFonts w:ascii="Arial" w:cs="Arial" w:eastAsia="Arial" w:hAnsi="Arial"/>
                <w:sz w:val="10"/>
                <w:szCs w:val="10"/>
                <w:b w:val="1"/>
                <w:bCs w:val="1"/>
                <w:color w:val="auto"/>
              </w:rPr>
              <w:t>Convertible Preferred</w:t>
            </w:r>
          </w:p>
        </w:tc>
        <w:tc>
          <w:tcPr>
            <w:tcW w:w="1320" w:type="dxa"/>
            <w:vAlign w:val="bottom"/>
            <w:gridSpan w:val="3"/>
          </w:tcPr>
          <w:p>
            <w:pPr>
              <w:ind w:left="260"/>
              <w:spacing w:after="0" w:line="103" w:lineRule="exact"/>
              <w:rPr>
                <w:sz w:val="20"/>
                <w:szCs w:val="20"/>
                <w:color w:val="auto"/>
              </w:rPr>
            </w:pPr>
            <w:r>
              <w:rPr>
                <w:rFonts w:ascii="Arial" w:cs="Arial" w:eastAsia="Arial" w:hAnsi="Arial"/>
                <w:sz w:val="10"/>
                <w:szCs w:val="10"/>
                <w:b w:val="1"/>
                <w:bCs w:val="1"/>
                <w:color w:val="auto"/>
              </w:rPr>
              <w:t>Convertible Preferred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rPr>
              <w:t>Common Stock</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860" w:type="dxa"/>
            <w:vAlign w:val="bottom"/>
            <w:tcBorders>
              <w:bottom w:val="single" w:sz="8" w:color="auto"/>
            </w:tcBorders>
            <w:gridSpan w:val="2"/>
          </w:tcPr>
          <w:p>
            <w:pPr>
              <w:jc w:val="center"/>
              <w:ind w:left="480"/>
              <w:spacing w:after="0"/>
              <w:rPr>
                <w:sz w:val="20"/>
                <w:szCs w:val="20"/>
                <w:color w:val="auto"/>
              </w:rPr>
            </w:pPr>
            <w:r>
              <w:rPr>
                <w:rFonts w:ascii="Arial" w:cs="Arial" w:eastAsia="Arial" w:hAnsi="Arial"/>
                <w:sz w:val="10"/>
                <w:szCs w:val="10"/>
                <w:b w:val="1"/>
                <w:bCs w:val="1"/>
                <w:color w:val="auto"/>
              </w:rPr>
              <w:t>Stock</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0"/>
                <w:szCs w:val="10"/>
                <w:b w:val="1"/>
                <w:bCs w:val="1"/>
                <w:color w:val="auto"/>
              </w:rPr>
              <w:t>Stock</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gridSpan w:val="2"/>
          </w:tcPr>
          <w:p>
            <w:pPr>
              <w:ind w:left="640"/>
              <w:spacing w:after="0"/>
              <w:rPr>
                <w:sz w:val="20"/>
                <w:szCs w:val="20"/>
                <w:color w:val="auto"/>
              </w:rPr>
            </w:pPr>
            <w:r>
              <w:rPr>
                <w:rFonts w:ascii="Arial" w:cs="Arial" w:eastAsia="Arial" w:hAnsi="Arial"/>
                <w:sz w:val="10"/>
                <w:szCs w:val="10"/>
                <w:b w:val="1"/>
                <w:bCs w:val="1"/>
                <w:color w:val="auto"/>
                <w:w w:val="95"/>
              </w:rPr>
              <w:t>Stock</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rPr>
              <w:t>Accumulated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3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2"/>
        </w:trPr>
        <w:tc>
          <w:tcPr>
            <w:tcW w:w="980" w:type="dxa"/>
            <w:vAlign w:val="bottom"/>
          </w:tcPr>
          <w:p>
            <w:pPr>
              <w:ind w:left="20"/>
              <w:spacing w:after="0" w:line="83" w:lineRule="exact"/>
              <w:rPr>
                <w:sz w:val="20"/>
                <w:szCs w:val="20"/>
                <w:color w:val="auto"/>
              </w:rPr>
            </w:pPr>
            <w:r>
              <w:rPr>
                <w:rFonts w:ascii="Arial" w:cs="Arial" w:eastAsia="Arial" w:hAnsi="Arial"/>
                <w:sz w:val="9"/>
                <w:szCs w:val="9"/>
                <w:b w:val="1"/>
                <w:bCs w:val="1"/>
                <w:color w:val="auto"/>
              </w:rPr>
              <w:t>(in thousands,</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Subscription</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tcPr>
          <w:p>
            <w:pPr>
              <w:jc w:val="center"/>
              <w:ind w:right="60"/>
              <w:spacing w:after="0" w:line="83" w:lineRule="exact"/>
              <w:rPr>
                <w:sz w:val="20"/>
                <w:szCs w:val="20"/>
                <w:color w:val="auto"/>
              </w:rPr>
            </w:pPr>
            <w:r>
              <w:rPr>
                <w:rFonts w:ascii="Arial" w:cs="Arial" w:eastAsia="Arial" w:hAnsi="Arial"/>
                <w:sz w:val="9"/>
                <w:szCs w:val="9"/>
                <w:b w:val="1"/>
                <w:bCs w:val="1"/>
                <w:color w:val="auto"/>
              </w:rPr>
              <w:t>Additional</w:t>
            </w:r>
          </w:p>
        </w:tc>
        <w:tc>
          <w:tcPr>
            <w:tcW w:w="7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Subscription</w:t>
            </w:r>
          </w:p>
        </w:tc>
        <w:tc>
          <w:tcPr>
            <w:tcW w:w="160" w:type="dxa"/>
            <w:vAlign w:val="bottom"/>
          </w:tcPr>
          <w:p>
            <w:pPr>
              <w:spacing w:after="0"/>
              <w:rPr>
                <w:sz w:val="7"/>
                <w:szCs w:val="7"/>
                <w:color w:val="auto"/>
              </w:rPr>
            </w:pPr>
          </w:p>
        </w:tc>
        <w:tc>
          <w:tcPr>
            <w:tcW w:w="720" w:type="dxa"/>
            <w:vAlign w:val="bottom"/>
            <w:gridSpan w:val="2"/>
          </w:tcPr>
          <w:p>
            <w:pPr>
              <w:jc w:val="center"/>
              <w:ind w:right="240"/>
              <w:spacing w:after="0" w:line="83" w:lineRule="exact"/>
              <w:rPr>
                <w:sz w:val="20"/>
                <w:szCs w:val="20"/>
                <w:color w:val="auto"/>
              </w:rPr>
            </w:pPr>
            <w:r>
              <w:rPr>
                <w:rFonts w:ascii="Arial" w:cs="Arial" w:eastAsia="Arial" w:hAnsi="Arial"/>
                <w:sz w:val="9"/>
                <w:szCs w:val="9"/>
                <w:b w:val="1"/>
                <w:bCs w:val="1"/>
                <w:color w:val="auto"/>
              </w:rPr>
              <w:t>Other</w:t>
            </w:r>
          </w:p>
        </w:tc>
        <w:tc>
          <w:tcPr>
            <w:tcW w:w="7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Accumulated</w:t>
            </w:r>
          </w:p>
        </w:tc>
        <w:tc>
          <w:tcPr>
            <w:tcW w:w="700" w:type="dxa"/>
            <w:vAlign w:val="bottom"/>
            <w:gridSpan w:val="2"/>
          </w:tcPr>
          <w:p>
            <w:pPr>
              <w:jc w:val="center"/>
              <w:spacing w:after="0" w:line="83"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02"/>
        </w:trPr>
        <w:tc>
          <w:tcPr>
            <w:tcW w:w="98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except share</w:t>
            </w:r>
          </w:p>
        </w:tc>
        <w:tc>
          <w:tcPr>
            <w:tcW w:w="86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86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rPr>
              <w:t>Amount</w:t>
            </w:r>
          </w:p>
        </w:tc>
        <w:tc>
          <w:tcPr>
            <w:tcW w:w="92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Shares</w:t>
            </w:r>
          </w:p>
        </w:tc>
        <w:tc>
          <w:tcPr>
            <w:tcW w:w="70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740" w:type="dxa"/>
            <w:vAlign w:val="bottom"/>
            <w:gridSpan w:val="3"/>
            <w:vMerge w:val="continue"/>
          </w:tcPr>
          <w:p>
            <w:pPr>
              <w:spacing w:after="0"/>
              <w:rPr>
                <w:sz w:val="8"/>
                <w:szCs w:val="8"/>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8"/>
                <w:szCs w:val="8"/>
                <w:color w:val="auto"/>
              </w:rPr>
            </w:pPr>
          </w:p>
        </w:tc>
        <w:tc>
          <w:tcPr>
            <w:tcW w:w="600" w:type="dxa"/>
            <w:vAlign w:val="bottom"/>
            <w:gridSpan w:val="2"/>
          </w:tcPr>
          <w:p>
            <w:pPr>
              <w:jc w:val="center"/>
              <w:ind w:right="140"/>
              <w:spacing w:after="0" w:line="103"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3"/>
            <w:vMerge w:val="continue"/>
          </w:tcPr>
          <w:p>
            <w:pPr>
              <w:spacing w:after="0"/>
              <w:rPr>
                <w:sz w:val="8"/>
                <w:szCs w:val="8"/>
                <w:color w:val="auto"/>
              </w:rPr>
            </w:pPr>
          </w:p>
        </w:tc>
        <w:tc>
          <w:tcPr>
            <w:tcW w:w="880" w:type="dxa"/>
            <w:vAlign w:val="bottom"/>
            <w:gridSpan w:val="3"/>
          </w:tcPr>
          <w:p>
            <w:pPr>
              <w:jc w:val="center"/>
              <w:ind w:right="80"/>
              <w:spacing w:after="0" w:line="103" w:lineRule="exact"/>
              <w:rPr>
                <w:sz w:val="20"/>
                <w:szCs w:val="20"/>
                <w:color w:val="auto"/>
              </w:rPr>
            </w:pPr>
            <w:r>
              <w:rPr>
                <w:rFonts w:ascii="Arial" w:cs="Arial" w:eastAsia="Arial" w:hAnsi="Arial"/>
                <w:sz w:val="10"/>
                <w:szCs w:val="10"/>
                <w:b w:val="1"/>
                <w:bCs w:val="1"/>
                <w:color w:val="auto"/>
              </w:rPr>
              <w:t>Comprehensive</w:t>
            </w: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9"/>
              <w:spacing w:after="0" w:line="103"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47"/>
        </w:trPr>
        <w:tc>
          <w:tcPr>
            <w:tcW w:w="980" w:type="dxa"/>
            <w:vAlign w:val="bottom"/>
          </w:tcPr>
          <w:p>
            <w:pPr>
              <w:ind w:left="20"/>
              <w:spacing w:after="0"/>
              <w:rPr>
                <w:sz w:val="20"/>
                <w:szCs w:val="20"/>
                <w:color w:val="auto"/>
              </w:rPr>
            </w:pPr>
            <w:r>
              <w:rPr>
                <w:rFonts w:ascii="Arial" w:cs="Arial" w:eastAsia="Arial" w:hAnsi="Arial"/>
                <w:sz w:val="10"/>
                <w:szCs w:val="10"/>
                <w:b w:val="1"/>
                <w:bCs w:val="1"/>
                <w:color w:val="auto"/>
              </w:rPr>
              <w:t>amounts)</w:t>
            </w:r>
          </w:p>
        </w:tc>
        <w:tc>
          <w:tcPr>
            <w:tcW w:w="860" w:type="dxa"/>
            <w:vAlign w:val="bottom"/>
            <w:gridSpan w:val="2"/>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0"/>
                <w:szCs w:val="10"/>
                <w:b w:val="1"/>
                <w:bCs w:val="1"/>
                <w:color w:val="auto"/>
              </w:rPr>
              <w:t>Receivable</w:t>
            </w:r>
          </w:p>
        </w:tc>
        <w:tc>
          <w:tcPr>
            <w:tcW w:w="760" w:type="dxa"/>
            <w:vAlign w:val="bottom"/>
            <w:gridSpan w:val="2"/>
            <w:vMerge w:val="continue"/>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Capital</w:t>
            </w:r>
          </w:p>
        </w:tc>
        <w:tc>
          <w:tcPr>
            <w:tcW w:w="760" w:type="dxa"/>
            <w:vAlign w:val="bottom"/>
            <w:gridSpan w:val="3"/>
          </w:tcPr>
          <w:p>
            <w:pPr>
              <w:ind w:left="80"/>
              <w:spacing w:after="0"/>
              <w:rPr>
                <w:sz w:val="20"/>
                <w:szCs w:val="20"/>
                <w:color w:val="auto"/>
              </w:rPr>
            </w:pPr>
            <w:r>
              <w:rPr>
                <w:rFonts w:ascii="Arial" w:cs="Arial" w:eastAsia="Arial" w:hAnsi="Arial"/>
                <w:sz w:val="10"/>
                <w:szCs w:val="10"/>
                <w:b w:val="1"/>
                <w:bCs w:val="1"/>
                <w:color w:val="auto"/>
              </w:rPr>
              <w:t>Receivable</w:t>
            </w:r>
          </w:p>
        </w:tc>
        <w:tc>
          <w:tcPr>
            <w:tcW w:w="8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Income (Loss)</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15"/>
        </w:trPr>
        <w:tc>
          <w:tcPr>
            <w:tcW w:w="98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Balance,</w:t>
            </w: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b w:val="1"/>
                <w:bCs w:val="1"/>
                <w:color w:val="auto"/>
              </w:rPr>
              <w:t>December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12,865,375</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$36,860</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62,245,805</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$78,903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118,682,683</w:t>
            </w:r>
          </w:p>
        </w:tc>
        <w:tc>
          <w:tcPr>
            <w:tcW w:w="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$150,563</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749,760</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24"/>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 (123,421)</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(121,014)</w:t>
            </w:r>
          </w:p>
        </w:tc>
        <w:tc>
          <w:tcPr>
            <w:tcW w:w="0" w:type="dxa"/>
            <w:vAlign w:val="bottom"/>
          </w:tcPr>
          <w:p>
            <w:pPr>
              <w:spacing w:after="0"/>
              <w:rPr>
                <w:sz w:val="1"/>
                <w:szCs w:val="1"/>
                <w:color w:val="auto"/>
              </w:rPr>
            </w:pPr>
          </w:p>
        </w:tc>
      </w:tr>
      <w:tr>
        <w:trPr>
          <w:trHeight w:val="17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31, 2025</w:t>
            </w: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20"/>
              <w:spacing w:after="0" w:line="128" w:lineRule="exact"/>
              <w:rPr>
                <w:sz w:val="20"/>
                <w:szCs w:val="20"/>
                <w:color w:val="auto"/>
              </w:rPr>
            </w:pPr>
            <w:r>
              <w:rPr>
                <w:rFonts w:ascii="Arial" w:cs="Arial" w:eastAsia="Arial" w:hAnsi="Arial"/>
                <w:sz w:val="13"/>
                <w:szCs w:val="13"/>
                <w:color w:val="auto"/>
              </w:rPr>
              <w:t>Issuance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common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stock in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connection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with initial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public</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offering, net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of issuance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costs of</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17,339,294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269,102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269,102</w:t>
            </w:r>
          </w:p>
        </w:tc>
        <w:tc>
          <w:tcPr>
            <w:tcW w:w="0" w:type="dxa"/>
            <w:vAlign w:val="bottom"/>
          </w:tcPr>
          <w:p>
            <w:pPr>
              <w:spacing w:after="0"/>
              <w:rPr>
                <w:sz w:val="1"/>
                <w:szCs w:val="1"/>
                <w:color w:val="auto"/>
              </w:rPr>
            </w:pPr>
          </w:p>
        </w:tc>
      </w:tr>
      <w:tr>
        <w:trPr>
          <w:trHeight w:val="173"/>
        </w:trPr>
        <w:tc>
          <w:tcPr>
            <w:tcW w:w="980" w:type="dxa"/>
            <w:vAlign w:val="bottom"/>
          </w:tcPr>
          <w:p>
            <w:pPr>
              <w:ind w:left="180"/>
              <w:spacing w:after="0"/>
              <w:rPr>
                <w:sz w:val="20"/>
                <w:szCs w:val="20"/>
                <w:color w:val="auto"/>
              </w:rPr>
            </w:pPr>
            <w:r>
              <w:rPr>
                <w:rFonts w:ascii="Arial" w:cs="Arial" w:eastAsia="Arial" w:hAnsi="Arial"/>
                <w:sz w:val="13"/>
                <w:szCs w:val="13"/>
                <w:color w:val="auto"/>
              </w:rPr>
              <w:t>$25,666</w:t>
            </w: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Conversion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redeemable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preferred</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stock to</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common</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stock upon</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initial public</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(12,865,375)</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(36,860)</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(62,245,805)</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(78,903)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(118,682,683)</w:t>
            </w:r>
          </w:p>
        </w:tc>
        <w:tc>
          <w:tcPr>
            <w:tcW w:w="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(150,563)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19,250,410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266,326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264,477</w:t>
            </w:r>
          </w:p>
        </w:tc>
        <w:tc>
          <w:tcPr>
            <w:tcW w:w="0" w:type="dxa"/>
            <w:vAlign w:val="bottom"/>
          </w:tcPr>
          <w:p>
            <w:pPr>
              <w:spacing w:after="0"/>
              <w:rPr>
                <w:sz w:val="1"/>
                <w:szCs w:val="1"/>
                <w:color w:val="auto"/>
              </w:rPr>
            </w:pPr>
          </w:p>
        </w:tc>
      </w:tr>
      <w:tr>
        <w:trPr>
          <w:trHeight w:val="17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w:t>
            </w: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20"/>
              <w:spacing w:after="0" w:line="128" w:lineRule="exact"/>
              <w:rPr>
                <w:sz w:val="20"/>
                <w:szCs w:val="20"/>
                <w:color w:val="auto"/>
              </w:rPr>
            </w:pPr>
            <w:r>
              <w:rPr>
                <w:rFonts w:ascii="Arial" w:cs="Arial" w:eastAsia="Arial" w:hAnsi="Arial"/>
                <w:sz w:val="13"/>
                <w:szCs w:val="13"/>
                <w:color w:val="auto"/>
              </w:rPr>
              <w:t>Subscription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receivable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settled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through</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research and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development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180"/>
              <w:spacing w:after="0" w:line="128" w:lineRule="exact"/>
              <w:rPr>
                <w:sz w:val="20"/>
                <w:szCs w:val="20"/>
                <w:color w:val="auto"/>
              </w:rPr>
            </w:pPr>
            <w:r>
              <w:rPr>
                <w:rFonts w:ascii="Arial" w:cs="Arial" w:eastAsia="Arial" w:hAnsi="Arial"/>
                <w:sz w:val="13"/>
                <w:szCs w:val="13"/>
                <w:color w:val="auto"/>
              </w:rPr>
              <w:t>services</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621</w:t>
            </w:r>
          </w:p>
        </w:tc>
        <w:tc>
          <w:tcPr>
            <w:tcW w:w="0" w:type="dxa"/>
            <w:vAlign w:val="bottom"/>
          </w:tcPr>
          <w:p>
            <w:pPr>
              <w:spacing w:after="0"/>
              <w:rPr>
                <w:sz w:val="1"/>
                <w:szCs w:val="1"/>
                <w:color w:val="auto"/>
              </w:rPr>
            </w:pPr>
          </w:p>
        </w:tc>
      </w:tr>
      <w:tr>
        <w:trPr>
          <w:trHeight w:val="173"/>
        </w:trPr>
        <w:tc>
          <w:tcPr>
            <w:tcW w:w="980" w:type="dxa"/>
            <w:vAlign w:val="bottom"/>
          </w:tcPr>
          <w:p>
            <w:pPr>
              <w:ind w:left="180"/>
              <w:spacing w:after="0"/>
              <w:rPr>
                <w:sz w:val="20"/>
                <w:szCs w:val="20"/>
                <w:color w:val="auto"/>
              </w:rPr>
            </w:pPr>
            <w:r>
              <w:rPr>
                <w:rFonts w:ascii="Arial" w:cs="Arial" w:eastAsia="Arial" w:hAnsi="Arial"/>
                <w:sz w:val="13"/>
                <w:szCs w:val="13"/>
                <w:color w:val="auto"/>
              </w:rPr>
              <w:t>received</w:t>
            </w: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Stock-based</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5,259</w:t>
            </w:r>
          </w:p>
        </w:tc>
        <w:tc>
          <w:tcPr>
            <w:tcW w:w="0" w:type="dxa"/>
            <w:vAlign w:val="bottom"/>
          </w:tcPr>
          <w:p>
            <w:pPr>
              <w:spacing w:after="0"/>
              <w:rPr>
                <w:sz w:val="1"/>
                <w:szCs w:val="1"/>
                <w:color w:val="auto"/>
              </w:rPr>
            </w:pPr>
          </w:p>
        </w:tc>
      </w:tr>
      <w:tr>
        <w:trPr>
          <w:trHeight w:val="17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compensation</w:t>
            </w:r>
          </w:p>
        </w:tc>
        <w:tc>
          <w:tcPr>
            <w:tcW w:w="8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20"/>
              <w:spacing w:after="0" w:line="128" w:lineRule="exact"/>
              <w:rPr>
                <w:sz w:val="20"/>
                <w:szCs w:val="20"/>
                <w:color w:val="auto"/>
              </w:rPr>
            </w:pPr>
            <w:r>
              <w:rPr>
                <w:rFonts w:ascii="Arial" w:cs="Arial" w:eastAsia="Arial" w:hAnsi="Arial"/>
                <w:sz w:val="13"/>
                <w:szCs w:val="13"/>
                <w:color w:val="auto"/>
              </w:rPr>
              <w:t>Stock option</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826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3"/>
        </w:trPr>
        <w:tc>
          <w:tcPr>
            <w:tcW w:w="980" w:type="dxa"/>
            <w:vAlign w:val="bottom"/>
          </w:tcPr>
          <w:p>
            <w:pPr>
              <w:ind w:left="180"/>
              <w:spacing w:after="0"/>
              <w:rPr>
                <w:sz w:val="20"/>
                <w:szCs w:val="20"/>
                <w:color w:val="auto"/>
              </w:rPr>
            </w:pPr>
            <w:r>
              <w:rPr>
                <w:rFonts w:ascii="Arial" w:cs="Arial" w:eastAsia="Arial" w:hAnsi="Arial"/>
                <w:sz w:val="13"/>
                <w:szCs w:val="13"/>
                <w:color w:val="auto"/>
              </w:rPr>
              <w:t>exercises</w:t>
            </w: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Unrealized loss</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on</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marketable</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0" w:type="dxa"/>
            <w:vAlign w:val="bottom"/>
          </w:tcPr>
          <w:p>
            <w:pPr>
              <w:spacing w:after="0"/>
              <w:rPr>
                <w:sz w:val="1"/>
                <w:szCs w:val="1"/>
                <w:color w:val="auto"/>
              </w:rPr>
            </w:pPr>
          </w:p>
        </w:tc>
      </w:tr>
      <w:tr>
        <w:trPr>
          <w:trHeight w:val="179"/>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securities</w:t>
            </w:r>
          </w:p>
        </w:tc>
        <w:tc>
          <w:tcPr>
            <w:tcW w:w="8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(27,232)</w:t>
            </w:r>
          </w:p>
        </w:tc>
        <w:tc>
          <w:tcPr>
            <w:tcW w:w="0" w:type="dxa"/>
            <w:vAlign w:val="bottom"/>
          </w:tcPr>
          <w:p>
            <w:pPr>
              <w:spacing w:after="0"/>
              <w:rPr>
                <w:sz w:val="1"/>
                <w:szCs w:val="1"/>
                <w:color w:val="auto"/>
              </w:rPr>
            </w:pPr>
          </w:p>
        </w:tc>
      </w:tr>
      <w:tr>
        <w:trPr>
          <w:trHeight w:val="114"/>
        </w:trPr>
        <w:tc>
          <w:tcPr>
            <w:tcW w:w="98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w w:val="98"/>
              </w:rPr>
              <w:t>Balance, March</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37,340,290</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543,044</w:t>
            </w:r>
          </w:p>
        </w:tc>
        <w:tc>
          <w:tcPr>
            <w:tcW w:w="6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4"/>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 (150,653)</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390,640</w:t>
            </w:r>
          </w:p>
        </w:tc>
        <w:tc>
          <w:tcPr>
            <w:tcW w:w="0" w:type="dxa"/>
            <w:vAlign w:val="bottom"/>
          </w:tcPr>
          <w:p>
            <w:pPr>
              <w:spacing w:after="0"/>
              <w:rPr>
                <w:sz w:val="1"/>
                <w:szCs w:val="1"/>
                <w:color w:val="auto"/>
              </w:rPr>
            </w:pPr>
          </w:p>
        </w:tc>
      </w:tr>
      <w:tr>
        <w:trPr>
          <w:trHeight w:val="173"/>
        </w:trPr>
        <w:tc>
          <w:tcPr>
            <w:tcW w:w="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31, 2026</w:t>
            </w:r>
          </w:p>
        </w:tc>
        <w:tc>
          <w:tcPr>
            <w:tcW w:w="86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1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VERADERMICS,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8"/>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(27,232)</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(12,400)</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5,259</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research and development services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18"/>
        </w:trPr>
        <w:tc>
          <w:tcPr>
            <w:tcW w:w="7940" w:type="dxa"/>
            <w:vAlign w:val="bottom"/>
          </w:tcPr>
          <w:p>
            <w:pPr>
              <w:ind w:left="220"/>
              <w:spacing w:after="0"/>
              <w:rPr>
                <w:sz w:val="20"/>
                <w:szCs w:val="20"/>
                <w:color w:val="auto"/>
              </w:rPr>
            </w:pPr>
            <w:r>
              <w:rPr>
                <w:rFonts w:ascii="Arial" w:cs="Arial" w:eastAsia="Arial" w:hAnsi="Arial"/>
                <w:sz w:val="17"/>
                <w:szCs w:val="17"/>
                <w:color w:val="auto"/>
              </w:rPr>
              <w:t>Net accretion of discount/premium on debt securities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794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4,360</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8"/>
        </w:trPr>
        <w:tc>
          <w:tcPr>
            <w:tcW w:w="7940" w:type="dxa"/>
            <w:vAlign w:val="bottom"/>
          </w:tcPr>
          <w:p>
            <w:pPr>
              <w:ind w:left="420"/>
              <w:spacing w:after="0"/>
              <w:rPr>
                <w:sz w:val="20"/>
                <w:szCs w:val="20"/>
                <w:color w:val="auto"/>
              </w:rPr>
            </w:pPr>
            <w:r>
              <w:rPr>
                <w:rFonts w:ascii="Arial" w:cs="Arial" w:eastAsia="Arial" w:hAnsi="Arial"/>
                <w:sz w:val="17"/>
                <w:szCs w:val="17"/>
                <w:color w:val="auto"/>
              </w:rPr>
              <w:t>Interest receivable on marketable securities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(1,499)</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18"/>
        </w:trPr>
        <w:tc>
          <w:tcPr>
            <w:tcW w:w="7940" w:type="dxa"/>
            <w:vAlign w:val="bottom"/>
          </w:tcPr>
          <w:p>
            <w:pPr>
              <w:ind w:left="42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(1,373)</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long term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94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Other current liabilities and lease liabilities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cash used in operating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(21,168)</w:t>
            </w: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property, plant and equipment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7940" w:type="dxa"/>
            <w:vAlign w:val="bottom"/>
          </w:tcPr>
          <w:p>
            <w:pPr>
              <w:ind w:left="220"/>
              <w:spacing w:after="0"/>
              <w:rPr>
                <w:sz w:val="20"/>
                <w:szCs w:val="20"/>
                <w:color w:val="auto"/>
              </w:rPr>
            </w:pPr>
            <w:r>
              <w:rPr>
                <w:rFonts w:ascii="Arial" w:cs="Arial" w:eastAsia="Arial" w:hAnsi="Arial"/>
                <w:sz w:val="17"/>
                <w:szCs w:val="17"/>
                <w:color w:val="auto"/>
              </w:rPr>
              <w:t>Purchases of marketable securities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(122,988)</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(15,731)</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Maturities of marketable securities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21,689</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940" w:type="dxa"/>
            <w:vAlign w:val="bottom"/>
          </w:tcPr>
          <w:p>
            <w:pPr>
              <w:ind w:left="64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(101,299)</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940" w:type="dxa"/>
            <w:vAlign w:val="bottom"/>
          </w:tcPr>
          <w:p>
            <w:pPr>
              <w:ind w:left="220"/>
              <w:spacing w:after="0"/>
              <w:rPr>
                <w:sz w:val="20"/>
                <w:szCs w:val="20"/>
                <w:color w:val="auto"/>
              </w:rPr>
            </w:pPr>
            <w:r>
              <w:rPr>
                <w:rFonts w:ascii="Arial" w:cs="Arial" w:eastAsia="Arial" w:hAnsi="Arial"/>
                <w:sz w:val="17"/>
                <w:szCs w:val="17"/>
                <w:color w:val="auto"/>
              </w:rPr>
              <w:t>Issuance of Series B preferred stock, net of issuance costs paid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8,423</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Initial public offering, net of issuance costs paid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269,102</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Exercise of stock options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cash provided by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269,113</w:t>
            </w: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146,646</w:t>
            </w:r>
          </w:p>
        </w:tc>
        <w:tc>
          <w:tcPr>
            <w:tcW w:w="4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(20,644)</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21,766</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53,084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7"/>
                <w:szCs w:val="17"/>
                <w:color w:val="auto"/>
              </w:rPr>
              <w:t>Cash and cash equivalents—end of period</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168,412</w:t>
            </w: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32,440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schedule of noncash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tcPr>
          <w:p>
            <w:pPr>
              <w:ind w:left="220"/>
              <w:spacing w:after="0"/>
              <w:rPr>
                <w:sz w:val="20"/>
                <w:szCs w:val="20"/>
                <w:color w:val="auto"/>
              </w:rPr>
            </w:pPr>
            <w:r>
              <w:rPr>
                <w:rFonts w:ascii="Arial" w:cs="Arial" w:eastAsia="Arial" w:hAnsi="Arial"/>
                <w:sz w:val="17"/>
                <w:szCs w:val="17"/>
                <w:color w:val="auto"/>
              </w:rPr>
              <w:t>Unrealized loss on marketable securities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(584)</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Right-of-use asset exchanged for lease liabilities</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51"/>
        </w:trPr>
        <w:tc>
          <w:tcPr>
            <w:tcW w:w="7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152400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60" w:top="1091"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7"/>
          <w:szCs w:val="17"/>
          <w:b w:val="1"/>
          <w:bCs w:val="1"/>
          <w:color w:val="auto"/>
        </w:rPr>
        <w:t>VERADERMICS, INCORPORATED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6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Veradermics, Incorporated and its wholly-owned subsidiary (collectively, the “Company” or “Veradermics”) is a dermatologist-founded, late clinical-stage biopharmaceutical company focused on developing innovative therapeutics to address pervasive treatment challenges in highly prevalent aesthetic and dermatological conditions. The Company’s initial focus is developing better treatments for pattern hair loss, or PHL, a condition affecting approximately 50 million men and approximately 30 million women in the United States. Beyond VDPHL01, the Company has created a portfolio utilizing its real-world experience as dermatologists to generate compelling pipeline assets, including VDMN for the treatment of common warts, VDAA for the treatment of alopecia areata, and VDMC for the treatment of molluscum contagiosum.</w:t>
      </w:r>
    </w:p>
    <w:p>
      <w:pPr>
        <w:spacing w:after="0" w:line="170"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Veradermics began its operations in 2019 as a company incorporated under the laws of the State of Texas. Effective on September 14, 2021, the Company was converted into a company incorporated under the laws of the State of Delaware. The Company is headquartered in New Haven, Connecticut.</w:t>
      </w:r>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February 5, 2026, the Company completed its initial public offering (“IPO”) of 17,339,294 shares of common stock at a public offering price of $17.00 per share, including 2,261,647 shares issued upon the exercise in full of the underwriters’ over-allotment option to purchase additional shares. The Company raised gross proceeds of approximately $294.8 million and net proceeds of approximately $269.1 million after deducting underwriting discounts, commissions, and offering expenses. Upon completion of the IPO, all outstanding shares of convertible preferred stock automatically converted into 19,250,410 shares of common stock. The Company’s common stock is listed on the New York Stock Exchange under the ticker symbol “MANE.”</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May 2026, the Company completed its underwritten public offering (the “Follow-On Public Offering”) of 4,420,358 shares of the Company’s common stock, par value $0.00001 per share (the “Common Stock”), at a public offering price of $100.00 per share, including 576,568 shares pursuant to the full exercise of the underwriters’ option to purchase additional shares. The gross proceeds from the Follow-On Public Offering were approximately $442.0 million, before deducting underwriting fees and discounts.</w:t>
      </w:r>
    </w:p>
    <w:p>
      <w:pPr>
        <w:spacing w:after="0" w:line="18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May 2026, the Company closed a private placement (the “Private Placement”) pursuant to a Securities Purchase Agreement (the “Purchase Agreement”), dated April 29, 2026, among the Company and certain entities affiliated with Suvretta Capital (each, an “Investor” and collectively, the “Investors”), in which the Company sold to the Investors pre-funded warrants (the “Pre-Funded Warrants”) to purchase an aggregate of 300,000 shares of Common Stock, at an offering price of $99.99999 per Pre-Funded Warrant. The gross proceeds of the Private Placement were approximately $30.0 million, before deducting placement agent fees and other expenses.</w:t>
      </w:r>
    </w:p>
    <w:p>
      <w:pPr>
        <w:spacing w:after="0" w:line="16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exercise price of each Pre-Funded Warrant equals $0.00001 per underlying share of Common Stock. The exercise price and the number of shares of Common Stock issuable upon exercise of each Pre-Funded Warrant is subject to appropriate adjustment in the event of certain stock dividends, stock splits, stock combinations, or similar events affecting the Common Stock. The Pre-Funded Warrants are exercisable in cash or by means of a cashless exercise and will not expire until the date the Pre-Funded Warrants are fully exercised. The Pre-Funded Warrants may not be exercised if the aggregate number of shares of Common Stock beneficially owned by the holder thereof (together with its affiliates) immediately following such exercise would exceed 9.99% of the Company’s Common Stock; provided, however, that a holder may increase or decrease the beneficial ownership limitation by giving written notice to the Company, but not to any percentage in excess of 19.99% and any such increase will not be effective until the 61st day after such notice is delivered to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Ability to Continue as a Going Concern</w:t>
      </w:r>
    </w:p>
    <w:p>
      <w:pPr>
        <w:spacing w:after="0" w:line="4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on the basis of continuity of operations, realization of assets and the satisfaction of liabilities and commitments in the ordinary course of business.</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205-40)</w:t>
      </w:r>
      <w:r>
        <w:rPr>
          <w:rFonts w:ascii="Arial" w:cs="Arial" w:eastAsia="Arial" w:hAnsi="Arial"/>
          <w:sz w:val="16"/>
          <w:szCs w:val="16"/>
          <w:color w:val="auto"/>
        </w:rPr>
        <w:t>, the Company has evaluated whether there are conditions and events, considered in the aggregate, that raise substantial doubt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ability to continue as a going concern within one year after the date that the financial statements are issued.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201295</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14" w:name="page15"/>
    <w:bookmarkEnd w:id="14"/>
    <w:p>
      <w:pPr>
        <w:ind w:right="40"/>
        <w:spacing w:after="0" w:line="264" w:lineRule="auto"/>
        <w:rPr>
          <w:sz w:val="20"/>
          <w:szCs w:val="20"/>
          <w:color w:val="auto"/>
        </w:rPr>
      </w:pPr>
      <w:r>
        <w:rPr>
          <w:rFonts w:ascii="Arial" w:cs="Arial" w:eastAsia="Arial" w:hAnsi="Arial"/>
          <w:sz w:val="16"/>
          <w:szCs w:val="16"/>
          <w:color w:val="auto"/>
        </w:rPr>
        <w:t>The Company has incurred recurring losses since its inception, including net losses of $27.2 million and $12.4 million for the three months ended March 31, 2026 and 2025, as well as incurred negative cash flows from operations of $21.2 million and $13.3 million, respectively. In addition, as of March 31, 2026, the Company had an accumulated deficit of $150.7 million. The Company expects to continue to generate operating losses for the foreseeable future. Through March 31, 2026, the Company has financed its operations primarily from the sale of equity securities. The Company may never achieve profitability, and unless and until it does, the Company will continue to need to raise additional capital to fund its operations.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The Company completed its IPO in the first quarter of 2026, from which it received gross proceeds of $294.8 million. In May 2026, the Company completed the Follow-On Public Offering and the Private Placement, from which it received gross proceeds of $472.0 million, before deducting underwriting discounts, placement agent fees and other expenses. The net proceeds from the IPO, the Follow-On Public Offering and the Private Placement, together with existing cash on hand, will enable the Company to meet its obligations for at least the twelve-month period from the date the financial statements are available to be issued.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Company is subject to risks and uncertainties common to early-stage companies in the pharmaceutical industry, including, but not limited to, development by competitors of new technological innovations, dependence on key personnel, protection of proprietary technology, compliance with government regulations and those specific to the pharmaceutical industry such as the U.S. Food and Drug Administration (“FDA”), and the ability to secure additional capital to fund operations. Products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and reporting capabilities. The Company’s future clinical trials require significant compliance and monitoring by government agencies and there can be no assurances that such agencies will approve procedures followed in the Company’s trials. Another likely scenario is that such agencies would require additional procedures to be performed which would push out commercialization timing. Further, even if the Company's product development efforts are successful, it is uncertain when, if ever, the Company will realize significant revenue from product sales.</w:t>
      </w:r>
    </w:p>
    <w:p>
      <w:pPr>
        <w:spacing w:after="0" w:line="17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If the Company’s product development efforts are successful, they are subject to significant risks and uncertainties related to product commercialization and launch, including being unable to secure additional funding to make support to Company’s commercial launch efforts. Additionally, the Company’s potential product would compete in the market of medical dermatology. The industry is subject to technology advancements as well as being affected by political conditions which could impact the market’s reimbursement and regulatory policy, and by economic conditions surrounding availability and affordability of health insurance and access to health services. The pharmaceutical industry is heavily regulated by the need for approval in order to sell a product, to reimbursement policy for use of the product, and how companies can and cannot interact and sell to physicians or hospitals.</w:t>
      </w:r>
    </w:p>
    <w:p>
      <w:pPr>
        <w:spacing w:after="0" w:line="188" w:lineRule="exact"/>
        <w:rPr>
          <w:sz w:val="20"/>
          <w:szCs w:val="20"/>
          <w:color w:val="auto"/>
        </w:rPr>
      </w:pPr>
    </w:p>
    <w:p>
      <w:pPr>
        <w:ind w:right="7460" w:firstLine="2"/>
        <w:spacing w:after="0" w:line="303" w:lineRule="auto"/>
        <w:tabs>
          <w:tab w:leader="none" w:pos="19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(“U.S. GAAP”) in the United States. Any reference in these notes to applicable guidance is meant to refer to GAAP as found in the Accounting Standards Codification (“ASC”) and ASUs promulgated by the Financial Accounting Standards Board (“FASB”).</w:t>
      </w:r>
    </w:p>
    <w:p>
      <w:pPr>
        <w:spacing w:after="0" w:line="160" w:lineRule="exact"/>
        <w:rPr>
          <w:sz w:val="20"/>
          <w:szCs w:val="20"/>
          <w:color w:val="auto"/>
        </w:rPr>
      </w:pPr>
    </w:p>
    <w:p>
      <w:pPr>
        <w:ind w:right="540"/>
        <w:spacing w:after="0" w:line="290" w:lineRule="auto"/>
        <w:rPr>
          <w:sz w:val="20"/>
          <w:szCs w:val="20"/>
          <w:color w:val="auto"/>
        </w:rPr>
      </w:pPr>
      <w:r>
        <w:rPr>
          <w:rFonts w:ascii="Arial" w:cs="Arial" w:eastAsia="Arial" w:hAnsi="Arial"/>
          <w:sz w:val="16"/>
          <w:szCs w:val="16"/>
          <w:color w:val="auto"/>
        </w:rPr>
        <w:t>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On January 27, 2026, the Company effected a 1-for-10.067 reverse stock split of the Company’s issued and outstanding common stock and adjusted the conversion ratio of the Company’s outstanding convertible preferred stock. Accordingly, all share and per share amounts for all common stock in the periods presented have been retroactively adjusted, where applicable, to reflect the reverse stock split and the adjustment of the preferred stock conversion ratios.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4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accompanying financial statements include the accounts of the Company and the Company’s subsidiary, which the Company controls. Accordingly, all intercompany balances and transactions between these entities have been eliminated within the financial statements.</w:t>
      </w: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4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Changes in estimates and assumptions are reflected in reported results in the period in which they become known. Actual results could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valuation of prepaid and accrued expenses related to certain research and development contracts, and share-based compensation expense which includes estimating the fair value of its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4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The significant accounting policies used in preparation of these condensed consolidated financial statements are consistent with those discussed in Note 2, </w:t>
      </w:r>
      <w:r>
        <w:rPr>
          <w:rFonts w:ascii="Arial" w:cs="Arial" w:eastAsia="Arial" w:hAnsi="Arial"/>
          <w:sz w:val="16"/>
          <w:szCs w:val="16"/>
          <w:i w:val="1"/>
          <w:iCs w:val="1"/>
          <w:color w:val="auto"/>
        </w:rPr>
        <w:t xml:space="preserve">Summary of Significant Accounting Policies, </w:t>
      </w:r>
      <w:r>
        <w:rPr>
          <w:rFonts w:ascii="Arial" w:cs="Arial" w:eastAsia="Arial" w:hAnsi="Arial"/>
          <w:sz w:val="16"/>
          <w:szCs w:val="16"/>
          <w:color w:val="auto"/>
        </w:rPr>
        <w:t>to the consolidated financial statements for the year ended December 31, 2025 included in the Company’s 2025</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(the “Annual Report”), except for the following: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45"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Prior to the IPO, the Company did not meet the criteria to apply the simplified method for determining the expected term of stock option grants under the Black-Scholes option pricing model. Following the completion of its IPO in the first quarter of 2026, the Company elected to adopt the simplified method for stock option grants issued subsequent to the IPO. Under this method, the expected term is calculated as the midpoint between the vesting term and the contractual term of the award.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4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In November 2024, the FASB issued ASU No. 2024-03, </w:t>
      </w:r>
      <w:r>
        <w:rPr>
          <w:rFonts w:ascii="Arial" w:cs="Arial" w:eastAsia="Arial" w:hAnsi="Arial"/>
          <w:sz w:val="16"/>
          <w:szCs w:val="16"/>
          <w:i w:val="1"/>
          <w:iCs w:val="1"/>
          <w:color w:val="auto"/>
        </w:rPr>
        <w:t>Income Statement—Reporting Comprehensive Income—Expense Disaggregation Disclosures</w:t>
      </w:r>
      <w:r>
        <w:rPr>
          <w:rFonts w:ascii="Arial" w:cs="Arial" w:eastAsia="Arial" w:hAnsi="Arial"/>
          <w:sz w:val="16"/>
          <w:szCs w:val="16"/>
          <w:color w:val="auto"/>
        </w:rPr>
        <w:t>, (“ASU 2024-03”). ASU 2024-03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prospective or retrospective application and early adoption permitted. The Company is currently evaluating the impact ASU 2024-03 will have on its financial statements.</w:t>
      </w:r>
    </w:p>
    <w:p>
      <w:pPr>
        <w:spacing w:after="0" w:line="187" w:lineRule="exact"/>
        <w:rPr>
          <w:sz w:val="20"/>
          <w:szCs w:val="20"/>
          <w:color w:val="auto"/>
        </w:rPr>
      </w:pPr>
    </w:p>
    <w:p>
      <w:pPr>
        <w:ind w:right="5780" w:firstLine="2"/>
        <w:spacing w:after="0" w:line="347" w:lineRule="auto"/>
        <w:tabs>
          <w:tab w:leader="none" w:pos="19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Prepaid Expenses, Other Current Assets, and Accrued Expenses </w:t>
      </w:r>
      <w:r>
        <w:rPr>
          <w:rFonts w:ascii="Arial" w:cs="Arial" w:eastAsia="Arial" w:hAnsi="Arial"/>
          <w:sz w:val="16"/>
          <w:szCs w:val="16"/>
          <w:color w:val="auto"/>
        </w:rPr>
        <w:t>Prepaid expenses and other current assets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As of March 31, 2026</w:t>
            </w: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8"/>
              <w:spacing w:after="0" w:line="157" w:lineRule="exact"/>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76"/>
        </w:trPr>
        <w:tc>
          <w:tcPr>
            <w:tcW w:w="8160" w:type="dxa"/>
            <w:vAlign w:val="bottom"/>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research and development</w:t>
            </w:r>
          </w:p>
        </w:tc>
        <w:tc>
          <w:tcPr>
            <w:tcW w:w="56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5,609</w:t>
            </w:r>
          </w:p>
        </w:tc>
        <w:tc>
          <w:tcPr>
            <w:tcW w:w="0" w:type="dxa"/>
            <w:vAlign w:val="bottom"/>
          </w:tcPr>
          <w:p>
            <w:pPr>
              <w:spacing w:after="0"/>
              <w:rPr>
                <w:sz w:val="1"/>
                <w:szCs w:val="1"/>
                <w:color w:val="auto"/>
              </w:rPr>
            </w:pP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Tax credit receivable</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Deferred IPO costs</w:t>
            </w:r>
          </w:p>
        </w:tc>
        <w:tc>
          <w:tcPr>
            <w:tcW w:w="5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3,387</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receivable on cash equivalents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Accrued expenses consists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As of March 31, 2026</w:t>
            </w: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43"/>
              <w:spacing w:after="0" w:line="157" w:lineRule="exact"/>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76"/>
        </w:trPr>
        <w:tc>
          <w:tcPr>
            <w:tcW w:w="8160" w:type="dxa"/>
            <w:vAlign w:val="bottom"/>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560" w:type="dxa"/>
            <w:vAlign w:val="bottom"/>
            <w:tcBorders>
              <w:top w:val="single" w:sz="8" w:color="auto"/>
            </w:tcBorders>
            <w:shd w:val="clear" w:color="auto" w:fill="CCEEFF"/>
          </w:tcPr>
          <w:p>
            <w:pPr>
              <w:jc w:val="right"/>
              <w:ind w:right="383"/>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Bonus</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Marketable Securities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our marketable securities by type of security as of March 31, 2026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top w:val="single" w:sz="8" w:color="auto"/>
            </w:tcBorders>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7"/>
              </w:rPr>
              <w:t>Fair Value Hierarchy</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center"/>
              <w:ind w:right="295"/>
              <w:spacing w:after="0" w:line="157" w:lineRule="exact"/>
              <w:rPr>
                <w:sz w:val="20"/>
                <w:szCs w:val="20"/>
                <w:color w:val="auto"/>
              </w:rPr>
            </w:pPr>
            <w:r>
              <w:rPr>
                <w:rFonts w:ascii="Arial" w:cs="Arial" w:eastAsia="Arial" w:hAnsi="Arial"/>
                <w:sz w:val="14"/>
                <w:szCs w:val="14"/>
                <w:b w:val="1"/>
                <w:bCs w:val="1"/>
                <w:color w:val="auto"/>
                <w:w w:val="97"/>
              </w:rPr>
              <w:t>Gross Unrealized</w:t>
            </w:r>
          </w:p>
        </w:tc>
        <w:tc>
          <w:tcPr>
            <w:tcW w:w="1680" w:type="dxa"/>
            <w:vAlign w:val="bottom"/>
            <w:tcBorders>
              <w:top w:val="single" w:sz="8" w:color="auto"/>
            </w:tcBorders>
            <w:gridSpan w:val="3"/>
          </w:tcPr>
          <w:p>
            <w:pPr>
              <w:jc w:val="center"/>
              <w:ind w:right="439"/>
              <w:spacing w:after="0" w:line="157" w:lineRule="exact"/>
              <w:rPr>
                <w:sz w:val="20"/>
                <w:szCs w:val="20"/>
                <w:color w:val="auto"/>
              </w:rPr>
            </w:pPr>
            <w:r>
              <w:rPr>
                <w:rFonts w:ascii="Arial" w:cs="Arial" w:eastAsia="Arial" w:hAnsi="Arial"/>
                <w:sz w:val="14"/>
                <w:szCs w:val="14"/>
                <w:b w:val="1"/>
                <w:bCs w:val="1"/>
                <w:color w:val="auto"/>
                <w:w w:val="97"/>
              </w:rPr>
              <w:t>Gross Unrealized</w:t>
            </w:r>
          </w:p>
        </w:tc>
        <w:tc>
          <w:tcPr>
            <w:tcW w:w="122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480" w:type="dxa"/>
            <w:vAlign w:val="bottom"/>
            <w:vMerge w:val="continue"/>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Level</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315"/>
              <w:spacing w:after="0"/>
              <w:rPr>
                <w:sz w:val="20"/>
                <w:szCs w:val="20"/>
                <w:color w:val="auto"/>
              </w:rPr>
            </w:pPr>
            <w:r>
              <w:rPr>
                <w:rFonts w:ascii="Arial" w:cs="Arial" w:eastAsia="Arial" w:hAnsi="Arial"/>
                <w:sz w:val="14"/>
                <w:szCs w:val="14"/>
                <w:b w:val="1"/>
                <w:bCs w:val="1"/>
                <w:color w:val="auto"/>
                <w:w w:val="97"/>
              </w:rPr>
              <w:t>Gains</w:t>
            </w:r>
          </w:p>
        </w:tc>
        <w:tc>
          <w:tcPr>
            <w:tcW w:w="1680" w:type="dxa"/>
            <w:vAlign w:val="bottom"/>
            <w:gridSpan w:val="3"/>
          </w:tcPr>
          <w:p>
            <w:pPr>
              <w:jc w:val="center"/>
              <w:ind w:right="419"/>
              <w:spacing w:after="0"/>
              <w:rPr>
                <w:sz w:val="20"/>
                <w:szCs w:val="20"/>
                <w:color w:val="auto"/>
              </w:rPr>
            </w:pPr>
            <w:r>
              <w:rPr>
                <w:rFonts w:ascii="Arial" w:cs="Arial" w:eastAsia="Arial" w:hAnsi="Arial"/>
                <w:sz w:val="14"/>
                <w:szCs w:val="14"/>
                <w:b w:val="1"/>
                <w:bCs w:val="1"/>
                <w:color w:val="auto"/>
                <w:w w:val="95"/>
              </w:rPr>
              <w:t>Losses</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Level 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17,298</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U.S. treasury securities</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color w:val="auto"/>
              </w:rPr>
              <w:t>Level 1</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334,695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334,238</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agency securities</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35"/>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38,072</w:t>
            </w:r>
          </w:p>
        </w:tc>
        <w:tc>
          <w:tcPr>
            <w:tcW w:w="0" w:type="dxa"/>
            <w:vAlign w:val="bottom"/>
          </w:tcPr>
          <w:p>
            <w:pPr>
              <w:spacing w:after="0"/>
              <w:rPr>
                <w:sz w:val="1"/>
                <w:szCs w:val="1"/>
                <w:color w:val="auto"/>
              </w:rPr>
            </w:pPr>
          </w:p>
        </w:tc>
      </w:tr>
      <w:tr>
        <w:trPr>
          <w:trHeight w:val="51"/>
        </w:trPr>
        <w:tc>
          <w:tcPr>
            <w:tcW w:w="3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our marketable securities by type of security as of December 31, 2025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top w:val="single" w:sz="8" w:color="auto"/>
            </w:tcBorders>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7"/>
              </w:rPr>
              <w:t>Fair Value Hierarchy</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center"/>
              <w:ind w:right="295"/>
              <w:spacing w:after="0" w:line="157" w:lineRule="exact"/>
              <w:rPr>
                <w:sz w:val="20"/>
                <w:szCs w:val="20"/>
                <w:color w:val="auto"/>
              </w:rPr>
            </w:pPr>
            <w:r>
              <w:rPr>
                <w:rFonts w:ascii="Arial" w:cs="Arial" w:eastAsia="Arial" w:hAnsi="Arial"/>
                <w:sz w:val="14"/>
                <w:szCs w:val="14"/>
                <w:b w:val="1"/>
                <w:bCs w:val="1"/>
                <w:color w:val="auto"/>
                <w:w w:val="97"/>
              </w:rPr>
              <w:t>Gross Unrealized</w:t>
            </w:r>
          </w:p>
        </w:tc>
        <w:tc>
          <w:tcPr>
            <w:tcW w:w="1680" w:type="dxa"/>
            <w:vAlign w:val="bottom"/>
            <w:tcBorders>
              <w:top w:val="single" w:sz="8" w:color="auto"/>
            </w:tcBorders>
            <w:gridSpan w:val="3"/>
          </w:tcPr>
          <w:p>
            <w:pPr>
              <w:jc w:val="center"/>
              <w:ind w:right="439"/>
              <w:spacing w:after="0" w:line="157" w:lineRule="exact"/>
              <w:rPr>
                <w:sz w:val="20"/>
                <w:szCs w:val="20"/>
                <w:color w:val="auto"/>
              </w:rPr>
            </w:pPr>
            <w:r>
              <w:rPr>
                <w:rFonts w:ascii="Arial" w:cs="Arial" w:eastAsia="Arial" w:hAnsi="Arial"/>
                <w:sz w:val="14"/>
                <w:szCs w:val="14"/>
                <w:b w:val="1"/>
                <w:bCs w:val="1"/>
                <w:color w:val="auto"/>
                <w:w w:val="97"/>
              </w:rPr>
              <w:t>Gross Unrealized</w:t>
            </w:r>
          </w:p>
        </w:tc>
        <w:tc>
          <w:tcPr>
            <w:tcW w:w="122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480" w:type="dxa"/>
            <w:vAlign w:val="bottom"/>
            <w:vMerge w:val="continue"/>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Level</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315"/>
              <w:spacing w:after="0"/>
              <w:rPr>
                <w:sz w:val="20"/>
                <w:szCs w:val="20"/>
                <w:color w:val="auto"/>
              </w:rPr>
            </w:pPr>
            <w:r>
              <w:rPr>
                <w:rFonts w:ascii="Arial" w:cs="Arial" w:eastAsia="Arial" w:hAnsi="Arial"/>
                <w:sz w:val="14"/>
                <w:szCs w:val="14"/>
                <w:b w:val="1"/>
                <w:bCs w:val="1"/>
                <w:color w:val="auto"/>
                <w:w w:val="97"/>
              </w:rPr>
              <w:t>Gains</w:t>
            </w:r>
          </w:p>
        </w:tc>
        <w:tc>
          <w:tcPr>
            <w:tcW w:w="1680" w:type="dxa"/>
            <w:vAlign w:val="bottom"/>
            <w:gridSpan w:val="3"/>
          </w:tcPr>
          <w:p>
            <w:pPr>
              <w:jc w:val="center"/>
              <w:ind w:right="419"/>
              <w:spacing w:after="0"/>
              <w:rPr>
                <w:sz w:val="20"/>
                <w:szCs w:val="20"/>
                <w:color w:val="auto"/>
              </w:rPr>
            </w:pPr>
            <w:r>
              <w:rPr>
                <w:rFonts w:ascii="Arial" w:cs="Arial" w:eastAsia="Arial" w:hAnsi="Arial"/>
                <w:sz w:val="14"/>
                <w:szCs w:val="14"/>
                <w:b w:val="1"/>
                <w:bCs w:val="1"/>
                <w:color w:val="auto"/>
                <w:w w:val="95"/>
              </w:rPr>
              <w:t>Losses</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Level 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12,204</w:t>
            </w:r>
          </w:p>
        </w:tc>
        <w:tc>
          <w:tcPr>
            <w:tcW w:w="0" w:type="dxa"/>
            <w:vAlign w:val="bottom"/>
          </w:tcPr>
          <w:p>
            <w:pPr>
              <w:spacing w:after="0"/>
              <w:rPr>
                <w:sz w:val="1"/>
                <w:szCs w:val="1"/>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6"/>
                <w:szCs w:val="16"/>
                <w:color w:val="auto"/>
              </w:rPr>
              <w:t>U.S. treasury securities</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color w:val="auto"/>
              </w:rPr>
              <w:t>Level 1</w:t>
            </w:r>
          </w:p>
        </w:tc>
        <w:tc>
          <w:tcPr>
            <w:tcW w:w="16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78,268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339"/>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78,314</w:t>
            </w:r>
          </w:p>
        </w:tc>
        <w:tc>
          <w:tcPr>
            <w:tcW w:w="0" w:type="dxa"/>
            <w:vAlign w:val="bottom"/>
          </w:tcPr>
          <w:p>
            <w:pPr>
              <w:spacing w:after="0"/>
              <w:rPr>
                <w:sz w:val="1"/>
                <w:szCs w:val="1"/>
                <w:color w:val="auto"/>
              </w:rPr>
            </w:pPr>
          </w:p>
        </w:tc>
      </w:tr>
      <w:tr>
        <w:trPr>
          <w:trHeight w:val="218"/>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agency securities</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49,781</w:t>
            </w:r>
          </w:p>
        </w:tc>
        <w:tc>
          <w:tcPr>
            <w:tcW w:w="0" w:type="dxa"/>
            <w:vAlign w:val="bottom"/>
          </w:tcPr>
          <w:p>
            <w:pPr>
              <w:spacing w:after="0"/>
              <w:rPr>
                <w:sz w:val="1"/>
                <w:szCs w:val="1"/>
                <w:color w:val="auto"/>
              </w:rPr>
            </w:pPr>
          </w:p>
        </w:tc>
      </w:tr>
      <w:tr>
        <w:trPr>
          <w:trHeight w:val="51"/>
        </w:trPr>
        <w:tc>
          <w:tcPr>
            <w:tcW w:w="34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fair values of marketable securities, by classification, included in the condensed consolidated balance sheets as of March 31, 2026 and December 31, 2025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As of March 31, 2026</w:t>
            </w:r>
          </w:p>
        </w:tc>
        <w:tc>
          <w:tcPr>
            <w:tcW w:w="8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45"/>
              <w:spacing w:after="0" w:line="157" w:lineRule="exact"/>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76"/>
        </w:trPr>
        <w:tc>
          <w:tcPr>
            <w:tcW w:w="816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20,203</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120,097</w:t>
            </w:r>
          </w:p>
        </w:tc>
        <w:tc>
          <w:tcPr>
            <w:tcW w:w="0" w:type="dxa"/>
            <w:vAlign w:val="bottom"/>
          </w:tcPr>
          <w:p>
            <w:pPr>
              <w:spacing w:after="0"/>
              <w:rPr>
                <w:sz w:val="1"/>
                <w:szCs w:val="1"/>
                <w:color w:val="auto"/>
              </w:rPr>
            </w:pPr>
          </w:p>
        </w:tc>
      </w:tr>
      <w:tr>
        <w:trPr>
          <w:trHeight w:val="54"/>
        </w:trPr>
        <w:tc>
          <w:tcPr>
            <w:tcW w:w="8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of March 31, 2026 and December 31, 2025, the amounts shown for marketable securities are inclusive of $1.9 million and $0.9 million of earned interest receivable,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available-for-sale debt securities as of March 31, 2026 and December 31, 2025, by contractual maturity, are summarized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4"/>
          </w:tcPr>
          <w:p>
            <w:pPr>
              <w:jc w:val="right"/>
              <w:ind w:right="778"/>
              <w:spacing w:after="0"/>
              <w:rPr>
                <w:sz w:val="20"/>
                <w:szCs w:val="20"/>
                <w:color w:val="auto"/>
              </w:rPr>
            </w:pPr>
            <w:r>
              <w:rPr>
                <w:rFonts w:ascii="Arial" w:cs="Arial" w:eastAsia="Arial" w:hAnsi="Arial"/>
                <w:sz w:val="14"/>
                <w:szCs w:val="14"/>
                <w:b w:val="1"/>
                <w:bCs w:val="1"/>
                <w:color w:val="auto"/>
              </w:rPr>
              <w:t>As of March 31, 2026</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4"/>
          </w:tcPr>
          <w:p>
            <w:pPr>
              <w:jc w:val="right"/>
              <w:ind w:right="638"/>
              <w:spacing w:after="0"/>
              <w:rPr>
                <w:sz w:val="20"/>
                <w:szCs w:val="20"/>
                <w:color w:val="auto"/>
              </w:rPr>
            </w:pPr>
            <w:r>
              <w:rPr>
                <w:rFonts w:ascii="Arial" w:cs="Arial" w:eastAsia="Arial" w:hAnsi="Arial"/>
                <w:sz w:val="14"/>
                <w:szCs w:val="14"/>
                <w:b w:val="1"/>
                <w:bCs w:val="1"/>
                <w:color w:val="auto"/>
              </w:rPr>
              <w:t>As of December 31, 2025</w:t>
            </w:r>
          </w:p>
        </w:tc>
      </w:tr>
      <w:tr>
        <w:trPr>
          <w:trHeight w:val="185"/>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8"/>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114,003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114,047</w:t>
            </w: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Due in one year through five years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100,733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26,237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26,253</w:t>
            </w:r>
          </w:p>
        </w:tc>
      </w:tr>
      <w:tr>
        <w:trPr>
          <w:trHeight w:val="218"/>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years through ten years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Due after ten years</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ind w:right="80"/>
        <w:spacing w:after="0" w:line="269" w:lineRule="auto"/>
        <w:rPr>
          <w:sz w:val="20"/>
          <w:szCs w:val="20"/>
          <w:color w:val="auto"/>
        </w:rPr>
      </w:pPr>
      <w:r>
        <w:rPr>
          <w:rFonts w:ascii="Arial" w:cs="Arial" w:eastAsia="Arial" w:hAnsi="Arial"/>
          <w:sz w:val="16"/>
          <w:szCs w:val="16"/>
          <w:color w:val="auto"/>
        </w:rPr>
        <w:t>The aggregate fair value of available-for-sale debt securities in an unrealized loss position as of March 31, 2026 and December 31, 2025 was $267.4 million and $9.6 million, respectively. The Company had no realized gains or losses during the three months ended March 31, 2026 or 2025. As of March 31, 2026 and December 31, 2025, the Company believes that the cost basis of our marketable securities is recoverable and no allowance for credit losses was recorded.</w:t>
      </w:r>
    </w:p>
    <w:p>
      <w:pPr>
        <w:spacing w:after="0" w:line="166" w:lineRule="exact"/>
        <w:rPr>
          <w:sz w:val="20"/>
          <w:szCs w:val="20"/>
          <w:color w:val="auto"/>
        </w:rPr>
      </w:pPr>
    </w:p>
    <w:p>
      <w:pPr>
        <w:ind w:right="6760" w:firstLine="2"/>
        <w:spacing w:after="0" w:line="303" w:lineRule="auto"/>
        <w:tabs>
          <w:tab w:leader="none" w:pos="19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 Common and Preferred Stock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On December 22, 2025, the Company amended its certificate of incorporation, whereby the Company increased shares of common stock it was authorized to issue to 267.5 million shares of common stock, par value $0.00001 per share, of which 253.4 million were designated as voting common stock and 14.1 million were designated as non-voting common stock. Each share of non-voting common stock was convertible, at the option of the holder thereof, at any time, and without the payment of additional consideration by the holder thereof, into one fully paid and nonassessable share of voting common stock. The Company had no outstanding shares of non-voting common stock as of December 31, 2025. Upon the consummation of the IPO, the Company restated its certificate of incorporation, and as of February 5, 2026, the Company was authorized to issue 200.0 million shares of common stock, par value $0.00001 per share, of which no shares were designated as non-voting common stock and 25.0 million shares of preferred stock, par value $0.00001 per share. The voting, dividend and liquidation rights of the holders of the common stock are subject to and qualified by the rights, power, and preferences of the preferred stockholders.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of March 31, 2026 and December 31, 2025, a total of 37,340,290 and 749,760 shares of common stock were issued and outstanding, respectively. An aggregate of 2,269,048 shares and 316,668 shares of common stock were reserved for the granting of stock-based compensation under the Company’s 2026 Equity Incentive Plan (the”2026 Plan”) and 2026 Employee Stock Purchase Plan (the “2026 ESPP”), respectively, as of March 31, 2026. In addition, the Company has reserved sufficient shares of common stock for issuance upon conversion of convertible preferred stock.</w:t>
      </w:r>
    </w:p>
    <w:p>
      <w:pPr>
        <w:spacing w:after="0" w:line="16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The holders of the common stock are entitled to one vote for each share of common stock held at all meetings of stockholders (and written actions in lieu of meetings), and there are no cumulative voting rights. The number of authorized shares of common stock may be increased or decreased by the affirmative vote of the holders of common stock of the Company; however, the issuance of common stock may be subject to the vote of the holders of one or more series of preferred stock that may be required by terms of the Fifth Amended and Restated Certificate of Incorporation.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outstanding as of December 31, 2025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63"/>
              <w:spacing w:after="0" w:line="157" w:lineRule="exact"/>
              <w:rPr>
                <w:sz w:val="20"/>
                <w:szCs w:val="20"/>
                <w:color w:val="auto"/>
              </w:rPr>
            </w:pPr>
            <w:r>
              <w:rPr>
                <w:rFonts w:ascii="Arial" w:cs="Arial" w:eastAsia="Arial" w:hAnsi="Arial"/>
                <w:sz w:val="14"/>
                <w:szCs w:val="14"/>
                <w:b w:val="1"/>
                <w:bCs w:val="1"/>
                <w:color w:val="auto"/>
                <w:w w:val="98"/>
              </w:rPr>
              <w:t>Liquidation</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Sales</w:t>
            </w:r>
          </w:p>
        </w:tc>
        <w:tc>
          <w:tcPr>
            <w:tcW w:w="16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Total Proceeds</w:t>
            </w:r>
          </w:p>
        </w:tc>
        <w:tc>
          <w:tcPr>
            <w:tcW w:w="140" w:type="dxa"/>
            <w:vAlign w:val="bottom"/>
          </w:tcPr>
          <w:p>
            <w:pPr>
              <w:spacing w:after="0"/>
              <w:rPr>
                <w:sz w:val="11"/>
                <w:szCs w:val="11"/>
                <w:color w:val="auto"/>
              </w:rPr>
            </w:pPr>
          </w:p>
        </w:tc>
        <w:tc>
          <w:tcPr>
            <w:tcW w:w="1280" w:type="dxa"/>
            <w:vAlign w:val="bottom"/>
          </w:tcPr>
          <w:p>
            <w:pPr>
              <w:jc w:val="center"/>
              <w:ind w:right="63"/>
              <w:spacing w:after="0" w:line="138" w:lineRule="exact"/>
              <w:rPr>
                <w:sz w:val="20"/>
                <w:szCs w:val="20"/>
                <w:color w:val="auto"/>
              </w:rPr>
            </w:pPr>
            <w:r>
              <w:rPr>
                <w:rFonts w:ascii="Arial" w:cs="Arial" w:eastAsia="Arial" w:hAnsi="Arial"/>
                <w:sz w:val="14"/>
                <w:szCs w:val="14"/>
                <w:b w:val="1"/>
                <w:bCs w:val="1"/>
                <w:color w:val="auto"/>
                <w:w w:val="97"/>
              </w:rPr>
              <w:t>Preference as of</w:t>
            </w:r>
          </w:p>
        </w:tc>
        <w:tc>
          <w:tcPr>
            <w:tcW w:w="0" w:type="dxa"/>
            <w:vAlign w:val="bottom"/>
          </w:tcPr>
          <w:p>
            <w:pPr>
              <w:spacing w:after="0"/>
              <w:rPr>
                <w:sz w:val="1"/>
                <w:szCs w:val="1"/>
                <w:color w:val="auto"/>
              </w:rPr>
            </w:pPr>
          </w:p>
        </w:tc>
      </w:tr>
      <w:tr>
        <w:trPr>
          <w:trHeight w:val="141"/>
        </w:trPr>
        <w:tc>
          <w:tcPr>
            <w:tcW w:w="1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Preferred Series Shares</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Date Sold</w:t>
            </w:r>
          </w:p>
        </w:tc>
        <w:tc>
          <w:tcPr>
            <w:tcW w:w="16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 Sold</w:t>
            </w:r>
          </w:p>
        </w:tc>
        <w:tc>
          <w:tcPr>
            <w:tcW w:w="22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December 31, 2025</w:t>
            </w:r>
          </w:p>
        </w:tc>
        <w:tc>
          <w:tcPr>
            <w:tcW w:w="0" w:type="dxa"/>
            <w:vAlign w:val="bottom"/>
          </w:tcPr>
          <w:p>
            <w:pPr>
              <w:spacing w:after="0"/>
              <w:rPr>
                <w:sz w:val="1"/>
                <w:szCs w:val="1"/>
                <w:color w:val="auto"/>
              </w:rPr>
            </w:pPr>
          </w:p>
        </w:tc>
      </w:tr>
      <w:tr>
        <w:trPr>
          <w:trHeight w:val="179"/>
        </w:trPr>
        <w:tc>
          <w:tcPr>
            <w:tcW w:w="188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Price/Share</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 millions)</w:t>
            </w:r>
          </w:p>
        </w:tc>
        <w:tc>
          <w:tcPr>
            <w:tcW w:w="140" w:type="dxa"/>
            <w:vAlign w:val="bottom"/>
          </w:tcPr>
          <w:p>
            <w:pPr>
              <w:spacing w:after="0"/>
              <w:rPr>
                <w:sz w:val="15"/>
                <w:szCs w:val="15"/>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Series A-1</w:t>
            </w: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September 2021</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6,515,849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0.00001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2.8770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Series A-2</w:t>
            </w:r>
          </w:p>
        </w:tc>
        <w:tc>
          <w:tcPr>
            <w:tcW w:w="2060" w:type="dxa"/>
            <w:vAlign w:val="bottom"/>
            <w:gridSpan w:val="2"/>
          </w:tcPr>
          <w:p>
            <w:pPr>
              <w:jc w:val="center"/>
              <w:ind w:right="60"/>
              <w:spacing w:after="0"/>
              <w:rPr>
                <w:sz w:val="20"/>
                <w:szCs w:val="20"/>
                <w:color w:val="auto"/>
              </w:rPr>
            </w:pPr>
            <w:r>
              <w:rPr>
                <w:rFonts w:ascii="Arial" w:cs="Arial" w:eastAsia="Arial" w:hAnsi="Arial"/>
                <w:sz w:val="16"/>
                <w:szCs w:val="16"/>
                <w:color w:val="auto"/>
              </w:rPr>
              <w:t>September 2021</w:t>
            </w:r>
          </w:p>
        </w:tc>
        <w:tc>
          <w:tcPr>
            <w:tcW w:w="1500" w:type="dxa"/>
            <w:vAlign w:val="bottom"/>
          </w:tcPr>
          <w:p>
            <w:pPr>
              <w:jc w:val="right"/>
              <w:spacing w:after="0"/>
              <w:rPr>
                <w:sz w:val="20"/>
                <w:szCs w:val="20"/>
                <w:color w:val="auto"/>
              </w:rPr>
            </w:pPr>
            <w:r>
              <w:rPr>
                <w:rFonts w:ascii="Arial" w:cs="Arial" w:eastAsia="Arial" w:hAnsi="Arial"/>
                <w:sz w:val="16"/>
                <w:szCs w:val="16"/>
                <w:color w:val="auto"/>
              </w:rPr>
              <w:t>680,479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0.00001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2.1578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A-3</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September 2021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0.00001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Series A-4</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rPr>
              <w:t>April 2023</w:t>
            </w:r>
          </w:p>
        </w:tc>
        <w:tc>
          <w:tcPr>
            <w:tcW w:w="1500" w:type="dxa"/>
            <w:vAlign w:val="bottom"/>
          </w:tcPr>
          <w:p>
            <w:pPr>
              <w:jc w:val="right"/>
              <w:spacing w:after="0"/>
              <w:rPr>
                <w:sz w:val="20"/>
                <w:szCs w:val="20"/>
                <w:color w:val="auto"/>
              </w:rPr>
            </w:pPr>
            <w:r>
              <w:rPr>
                <w:rFonts w:ascii="Arial" w:cs="Arial" w:eastAsia="Arial" w:hAnsi="Arial"/>
                <w:sz w:val="16"/>
                <w:szCs w:val="16"/>
                <w:color w:val="auto"/>
              </w:rPr>
              <w:t>4,965,572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0.00001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3.0208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59"/>
        </w:trPr>
        <w:tc>
          <w:tcPr>
            <w:tcW w:w="18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Series B</w:t>
            </w:r>
          </w:p>
        </w:tc>
        <w:tc>
          <w:tcPr>
            <w:tcW w:w="206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6"/>
                <w:szCs w:val="16"/>
                <w:color w:val="auto"/>
              </w:rPr>
              <w:t>November 2024 -</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62,245,805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0.00001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1.2049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14"/>
        </w:trPr>
        <w:tc>
          <w:tcPr>
            <w:tcW w:w="1880" w:type="dxa"/>
            <w:vAlign w:val="bottom"/>
            <w:gridSpan w:val="2"/>
            <w:vMerge w:val="continue"/>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February 2025</w:t>
            </w: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80" w:type="dxa"/>
            <w:vAlign w:val="bottom"/>
            <w:gridSpan w:val="2"/>
            <w:vMerge w:val="restart"/>
          </w:tcPr>
          <w:p>
            <w:pPr>
              <w:ind w:left="20"/>
              <w:spacing w:after="0"/>
              <w:rPr>
                <w:sz w:val="20"/>
                <w:szCs w:val="20"/>
                <w:color w:val="auto"/>
              </w:rPr>
            </w:pPr>
            <w:r>
              <w:rPr>
                <w:rFonts w:ascii="Arial" w:cs="Arial" w:eastAsia="Arial" w:hAnsi="Arial"/>
                <w:sz w:val="16"/>
                <w:szCs w:val="16"/>
                <w:color w:val="auto"/>
              </w:rPr>
              <w:t>Series C</w:t>
            </w:r>
          </w:p>
        </w:tc>
        <w:tc>
          <w:tcPr>
            <w:tcW w:w="2060" w:type="dxa"/>
            <w:vAlign w:val="bottom"/>
            <w:gridSpan w:val="2"/>
          </w:tcPr>
          <w:p>
            <w:pPr>
              <w:jc w:val="center"/>
              <w:ind w:right="80"/>
              <w:spacing w:after="0" w:line="158" w:lineRule="exact"/>
              <w:rPr>
                <w:sz w:val="20"/>
                <w:szCs w:val="20"/>
                <w:color w:val="auto"/>
              </w:rPr>
            </w:pPr>
            <w:r>
              <w:rPr>
                <w:rFonts w:ascii="Arial" w:cs="Arial" w:eastAsia="Arial" w:hAnsi="Arial"/>
                <w:sz w:val="16"/>
                <w:szCs w:val="16"/>
                <w:color w:val="auto"/>
              </w:rPr>
              <w:t>October 2025 - November</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118,682,683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0.00001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1.2723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215"/>
        </w:trPr>
        <w:tc>
          <w:tcPr>
            <w:tcW w:w="1880" w:type="dxa"/>
            <w:vAlign w:val="bottom"/>
            <w:gridSpan w:val="2"/>
            <w:vMerge w:val="continue"/>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In connection with the Series A4 Preferred Stock Purchase Agreement, the Company increased the number of shares of common stock authorized from 18,000,000 to 25,500,000 under the Second Amended and Restated Certificate of Incorporation dated as of April 13, 2023.</w:t>
      </w:r>
    </w:p>
    <w:p>
      <w:pPr>
        <w:spacing w:after="0" w:line="144"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color w:val="auto"/>
        </w:rPr>
        <w:t>In connection with the Series B Preferred Stock Purchase Agreement, the Company increased the number of shares of common stock authorized from 25,500,000 to 98,774,582 under the Third Amended and Restated Certificate of Incorporation dated as of November 22, 2024.</w:t>
      </w: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8" w:name="page19"/>
    <w:bookmarkEnd w:id="18"/>
    <w:p>
      <w:pPr>
        <w:ind w:right="420"/>
        <w:spacing w:after="0" w:line="290" w:lineRule="auto"/>
        <w:rPr>
          <w:sz w:val="20"/>
          <w:szCs w:val="20"/>
          <w:color w:val="auto"/>
        </w:rPr>
      </w:pPr>
      <w:r>
        <w:rPr>
          <w:rFonts w:ascii="Arial" w:cs="Arial" w:eastAsia="Arial" w:hAnsi="Arial"/>
          <w:sz w:val="16"/>
          <w:szCs w:val="16"/>
          <w:color w:val="auto"/>
        </w:rPr>
        <w:t>In connection with the Series C Preferred Stock Purchase Agreement, the Company increased the number of shares of common stock authorized from 98,774,582 to 267,466,797 under the Fourth Amended and Restated Certificate of Incorporation dated as of December 22, 2025.</w:t>
      </w:r>
    </w:p>
    <w:p>
      <w:pPr>
        <w:spacing w:after="0" w:line="144"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Immediately prior to the completion of the IPO on February 5, 2026, all outstanding shares of the Company’s Series A1, A2, A3, A4, B and C preferred stock automatically converted into an aggregate of 19,250,410 shares of common stock.</w:t>
      </w:r>
    </w:p>
    <w:p>
      <w:pPr>
        <w:spacing w:after="0" w:line="131"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Collectively, the shares of Series A1, A2, A3 and A4 preferred stock are referred to as “Series A preferred stock.” The Series B and C preferred stock are referred to as “Senior preferred stock.” The following terms detailed below for the Series A, B and C preferred stock are documented in the Company’s Fourth Amended and Restated Certificate of Incorporation dated as of December 22, 2025 and other equity-related documents and reflect the rights, preferences and privileges of holders of preferred stock prior to conversion into common stock upon the closing of the IPO: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Conversion</w:t>
      </w:r>
    </w:p>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share of Series A, Series B and Series C preferred stock, at the option of the holder, was convertible into a number of fully paid and non-assessable common shares as determined by multiplying the number of shares of Series A, Series B and Series C preferred stock being converted by the applicable conversion rate. The conversion rate in effect at any time was determined by dividing the preferred stock issue price by the conversion price in effect at that time. The conversion price applicable (all adjusted for the reverse stock split) to the Series A1 preferred stock was equal to $28.963 per share, the conversion price applicable to the Series A2 preferred stock was equal to $21.7226 per share, the conversion price applicable to the Series A3 preferred stock was equal to $28.963 per share, the conversion price applicable to the Series A4 preferred stock was equal to $30.4104 per share, the conversion price applicable to the Series B preferred stock was equal to $12.1297 per share and the conversion price applicable to the Series C preferred stock was equal to $12.8082 per share. Such initial conversion price, and the rate at which shares of preferred stock may be converted into common stock, was subject to adjustment. See Note 2 for information on the reverse stock split that adjusted the preferred stock conversion ratio.</w:t>
      </w:r>
    </w:p>
    <w:p>
      <w:pPr>
        <w:spacing w:after="0" w:line="172"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The Series A, Series B and Series C preferred stock would automatically convert to common stock either upon the closing of a public offering of the Company's common stock at a price of at least 1.2 times the conversion price, noted above, resulting in aggregate proceeds of at least $100.0 million, or upon the written election of a majority of the holders of Senior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3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The Series B and Series C preferred stock contained cumulative dividend rights at the annual rate of 12%, if and when declared by the board of directors (the “Board”), such that the Series B and Series C preferred stockholders, acting as one class, shall first receive, or simultaneously receive, preferential dividends as calculated under the terms of the Company’s Third Amended and Restated Certificate of Incorporation prior to Series A and common stockholders receiving any declared dividend. Since inception, no dividends have been declared or paid on the Series B or Series C preferred stock. In connection with the IPO, all outstanding preferred stock converted into common stock. As a result of the conversion, approximately $17.0 million of cumulative undeclared dividends were extinguished.</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Series A preferred stock contained non-cumulative dividend rights at the annual rate of 8%, if and when declared by the Board, such that the holders of the preferred stock, acting as one class, shall receive, or simultaneously receive, preferential dividends as calculated under the terms of the Company’s certificate of incorporation prior to common stockholders receiving any declared dividend. As of December 31, 2025, no dividends had been declared by the Board.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Deemed Liquidation Event</w:t>
      </w:r>
    </w:p>
    <w:p>
      <w:pPr>
        <w:spacing w:after="0" w:line="4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Certain transactions were defined as Deemed Liquidation Events, unless waived by the holders of a majority of the outstanding preferred stock. These events generally include a merger or consolidation involving the Company, the sale or disposition of all or substantially all of the Company’s assets, a SPAC transaction, or a merger or other business combination with a public company. Transactions in which existing stockholders retain a majority of the voting power of the surviving entity are not considered Deemed Liquidation Events.</w:t>
      </w:r>
    </w:p>
    <w:p>
      <w:pPr>
        <w:spacing w:after="0" w:line="200" w:lineRule="exact"/>
        <w:rPr>
          <w:sz w:val="20"/>
          <w:szCs w:val="20"/>
          <w:color w:val="auto"/>
        </w:rPr>
      </w:pP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Liquidation Preference</w:t>
      </w:r>
    </w:p>
    <w:p>
      <w:pPr>
        <w:spacing w:after="0" w:line="4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the event of any liquidation, dissolution, or winding up of the Company, the Senior preferred stockholders were entitled to receive prior to, and in preference to, any distribution to the Series A preferred and common stockholders, an amount equal to the greater of the applicable Original Issue Price per share plus accrued but unpaid dividends whether or not declared, or such amount per share as would have been payable had all shares of Senior preferred stock been converted to shares of common stock immediately prior to such event of liquidation, dissolution or winding up. In the event that upon liquidation or dissolution, if the assets and funds of the Company were insufficient to permit the payment to preferred stockholders of the full preferential amounts, then the entire assets and funds of the Company legally available for distribution would be distributed ratably among the Senior preferred stockholders in proportion to the full preferential amount each was otherwise entitled to receive.</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Following the completion of the distributions to the Senior preferred stockholders, the Series A preferred stockholders were entitled to receive prior to, and in preference to, any distribution to the common stockholders, an amount equal to the greater of the applicable Original Issue Price per share plus accrued but unpaid dividends declared, or such amount per share as would have been payable had all shares of Series A preferred stock been converted to shares of common stock immediately prior to such event of liquidation, dissolution or winding up. In the event that upon liquidation or dissolution, if the assets and funds of the Company were insufficient to permit the payment to preferred stockholders of the full preferential amounts, then the entire assets and funds of the Company legally available for distribution were to be distributed ratably among the Series A preferred stockholders in proportion to the full preferential amount each was otherwise entitled to receive. After the distributions described above had been paid in full, the remaining assets of the Company available for distribution would be distributed pro-rata to the common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4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Each Series A, Series B and Series C preferred stockholder was entitled to the number of votes equal to the number of shares of voting common stock into which such holder's shares were convertible.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Series B Preferred Stock Modification</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In connection with the closing of the Company’s Series C preferred stock financing in the fourth quarter of 2025, the Company amended the terms of its Series B convertible preferred stock pursuant to the amended and restated certificate of incorporation. The amendment decreased the liquidation preference of the Series B preferred stock from two to one times the original issuance price per share.</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change in liquidation preference represented a modification of the economic rights associated with the Series B preferred stock. The Company determined that the modification was substantive, and accounted for the transaction as an extinguishment and new issuance of the Series B preferred stock at fair value as of the modification date which resulted in an adjustment of approximately $4.2 million. In accordance with ASC 718-20, the Company recorded this amount as a non-cash adjustment to Series B preferred stock within mezzanine equity and retained earnings. The modification did not involve the issuance of additional shares or the receipt or payment of cash by the Company.</w:t>
      </w:r>
    </w:p>
    <w:p>
      <w:pPr>
        <w:spacing w:after="0" w:line="182" w:lineRule="exact"/>
        <w:rPr>
          <w:sz w:val="20"/>
          <w:szCs w:val="20"/>
          <w:color w:val="auto"/>
        </w:rPr>
      </w:pPr>
    </w:p>
    <w:p>
      <w:pPr>
        <w:jc w:val="both"/>
        <w:ind w:right="220"/>
        <w:spacing w:after="0" w:line="270" w:lineRule="auto"/>
        <w:rPr>
          <w:sz w:val="20"/>
          <w:szCs w:val="20"/>
          <w:color w:val="auto"/>
        </w:rPr>
      </w:pPr>
      <w:r>
        <w:rPr>
          <w:rFonts w:ascii="Arial" w:cs="Arial" w:eastAsia="Arial" w:hAnsi="Arial"/>
          <w:sz w:val="16"/>
          <w:szCs w:val="16"/>
          <w:color w:val="auto"/>
        </w:rPr>
        <w:t>Because the modification represented a reallocation of value among the Company’s preferred shareholders and did not represent a distribution to or from common stockholders, the adjustment did not affect net loss attributable to common shareholders. Accordingly, the modification had no impact on basic or diluted net loss per share for the year ended December 31, 2025.</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Net Loss Per Common Share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common share was calculated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share and per share amounts)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w:t>
            </w: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color w:val="auto"/>
              </w:rPr>
              <w:t>Less: Cumulative dividends on Series B preferred stock</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2,182</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Cumulative dividends on Series C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Net loss attributable to common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(14,582)</w:t>
            </w: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of common stock outstanding,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22,704,124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736,933</w:t>
            </w:r>
          </w:p>
        </w:tc>
      </w:tr>
      <w:tr>
        <w:trPr>
          <w:trHeight w:val="212"/>
        </w:trPr>
        <w:tc>
          <w:tcPr>
            <w:tcW w:w="8160" w:type="dxa"/>
            <w:vAlign w:val="bottom"/>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w:t>
            </w: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00"/>
        </w:trPr>
        <w:tc>
          <w:tcPr>
            <w:tcW w:w="8160" w:type="dxa"/>
            <w:vAlign w:val="bottom"/>
          </w:tcPr>
          <w:p>
            <w:pPr>
              <w:ind w:left="538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8"/>
        </w:trPr>
        <w:tc>
          <w:tcPr>
            <w:tcW w:w="8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11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40"/>
        <w:spacing w:after="0" w:line="260" w:lineRule="auto"/>
        <w:rPr>
          <w:sz w:val="20"/>
          <w:szCs w:val="20"/>
          <w:color w:val="auto"/>
        </w:rPr>
      </w:pPr>
      <w:r>
        <w:rPr>
          <w:rFonts w:ascii="Arial" w:cs="Arial" w:eastAsia="Arial" w:hAnsi="Arial"/>
          <w:sz w:val="16"/>
          <w:szCs w:val="16"/>
          <w:color w:val="auto"/>
        </w:rPr>
        <w:t>Basic net loss per common share is calculated by dividing the net loss, adjusted for the unpaid cumulative Series B and Series C preferred stock dividends, by the weighted-average number of shares of common stock outstanding during the period. Diluted loss per share is computed by dividing net loss for the period by the weighted-average number of shares of common stock and common stock equivalents outstanding (unless their effect is anti-dilutive) for the period. Common share equivalents include shares issuable upon the exercise of stock options and the conversion of preferred stock. During the three months ended March 31, 2026 and 2025, convertible preferred stock on an as if converted basis and unexercised options have been excluded as their effect is antidilutive. There were no other potentially dilutive, unissued shares of common stock for the three months ended March 31, 2026 and 2025. The Company had no outstanding non-voting common stock as of March 31, 2026 and 2025.</w:t>
      </w:r>
    </w:p>
    <w:p>
      <w:pPr>
        <w:spacing w:after="0" w:line="167"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Company reported net losses for each of the three months ended March 31, 2026 and 2025 and therefore excluded all options and convertible preferred stock from the computation of diluted net loss per common share as their inclusion would have had an antidilutive effect, as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00" w:type="dxa"/>
            <w:vAlign w:val="bottom"/>
            <w:tcBorders>
              <w:top w:val="single" w:sz="8" w:color="auto"/>
            </w:tcBorders>
          </w:tcPr>
          <w:p>
            <w:pPr>
              <w:spacing w:after="0"/>
              <w:rPr>
                <w:sz w:val="17"/>
                <w:szCs w:val="17"/>
                <w:color w:val="auto"/>
              </w:rPr>
            </w:pPr>
          </w:p>
        </w:tc>
        <w:tc>
          <w:tcPr>
            <w:tcW w:w="2960" w:type="dxa"/>
            <w:vAlign w:val="bottom"/>
            <w:tcBorders>
              <w:top w:val="single" w:sz="8" w:color="auto"/>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2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2026</w:t>
            </w: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2025</w:t>
            </w:r>
          </w:p>
        </w:tc>
      </w:tr>
      <w:tr>
        <w:trPr>
          <w:trHeight w:val="211"/>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74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5,476,081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720,560</w:t>
            </w:r>
          </w:p>
        </w:tc>
      </w:tr>
      <w:tr>
        <w:trPr>
          <w:trHeight w:val="21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Convertible preferred stock</w:t>
            </w:r>
          </w:p>
        </w:tc>
        <w:tc>
          <w:tcPr>
            <w:tcW w:w="17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7,461,125</w:t>
            </w: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potentially dilutive shares</w:t>
            </w:r>
          </w:p>
        </w:tc>
        <w:tc>
          <w:tcPr>
            <w:tcW w:w="174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5,476,081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8,181,685</w:t>
            </w:r>
          </w:p>
        </w:tc>
      </w:tr>
      <w:tr>
        <w:trPr>
          <w:trHeight w:val="51"/>
        </w:trPr>
        <w:tc>
          <w:tcPr>
            <w:tcW w:w="82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Stock-Based Compensation</w:t>
      </w:r>
    </w:p>
    <w:p>
      <w:pPr>
        <w:spacing w:after="0" w:line="81"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The Company adopted the 2021 Equity Incentive Plan (the “2021 Plan”) to grant option awards to its officers, directors and employees as compensation for their services to the Company. In the fourth quarter of 2025, the Board approved increases to the aggregate shares of common stock available for issuance under the 2021 Plan from 771,832 shares to 4,411,143 shares.</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Stock option awards under the 2021 Plan were to be issued at an exercise price of not less than 100% of the fair market value of the voting common stock at the date of the grant. The 2021 Plan was administered by the Board, which had the authority to grant awards, interpret the plan and related agreements, establish rules and regulations, and make all other determinations necessary for its administration. The Board could delegate these powers to a committee. Stock option awards granted under the 2021 Plan generally vest over 36 or 48 months, with 33.3% or 25% vesting one year after the grant date and the remainder vesting in equal monthly installments over the following 24 or 36 months, respectively.</w:t>
      </w:r>
    </w:p>
    <w:p>
      <w:pPr>
        <w:spacing w:after="0" w:line="166"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connection with the IPO in the first quarter of 2026, the Board adopted, and the stockholders approved, the 2026 Plan, which superseded the 2021 Plan. The 2026 Plan had an initial share pool of 4,032,751 shares available to be granted. Additionally, in connection with the IPO, the Board adopted, and the stockholders approved, the 2026 ESPP with an initial share pool of 316,668 shares available to be granted.</w:t>
      </w:r>
    </w:p>
    <w:p>
      <w:pPr>
        <w:spacing w:after="0" w:line="155"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During the three months ended March 31, 2026 and 2025, the Company recognized stock-based compensation expense of $5.3 million and $0.2 million, respectively. Stock-based compensation expense for the three months ended March 31, 2026 and 2025 was allocated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1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2025</w:t>
            </w: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3,285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5"/>
        </w:trPr>
        <w:tc>
          <w:tcPr>
            <w:tcW w:w="8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5,259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ind w:right="100"/>
        <w:spacing w:after="0" w:line="261" w:lineRule="auto"/>
        <w:rPr>
          <w:sz w:val="20"/>
          <w:szCs w:val="20"/>
          <w:color w:val="auto"/>
        </w:rPr>
      </w:pPr>
      <w:r>
        <w:rPr>
          <w:rFonts w:ascii="Arial" w:cs="Arial" w:eastAsia="Arial" w:hAnsi="Arial"/>
          <w:sz w:val="16"/>
          <w:szCs w:val="16"/>
          <w:color w:val="auto"/>
        </w:rPr>
        <w:t>Stock option awards grants in 2025 included 543,635 performance-based stock option awards with both a market condition and a performance condition made in the fourth quarter of 2025. The performance-based stock option awards were earned based upon achievement of specified corporate milestones, including a performance condition related to the completion of the Company’s initial public offering and a market condition related to attainment of certain post-IPO market capitalization levels. The weighted average grant date fair value of awards subject to both a market condition and a performance condition was $5.13. The Company achieved these milestones in the first quarter of 2026, resulting in the full vesting of the awards and recognition of $2.8 million in stock-based compensation in the first quarter of 2026.</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IPO in the first quarter of 2026, stock option awards to purchase an aggregate of 1,705,791 shares of Common Stock with time-based vesting conditions were granted to employees and members of the Company’s Board with a weighted average grant date fair value of $12.58.</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68" w:lineRule="exact"/>
        <w:rPr>
          <w:sz w:val="20"/>
          <w:szCs w:val="20"/>
          <w:color w:val="auto"/>
        </w:rPr>
      </w:pPr>
    </w:p>
    <w:p>
      <w:pPr>
        <w:jc w:val="both"/>
        <w:ind w:right="380"/>
        <w:spacing w:after="0" w:line="270" w:lineRule="auto"/>
        <w:rPr>
          <w:sz w:val="20"/>
          <w:szCs w:val="20"/>
          <w:color w:val="auto"/>
        </w:rPr>
      </w:pPr>
      <w:r>
        <w:rPr>
          <w:rFonts w:ascii="Arial" w:cs="Arial" w:eastAsia="Arial" w:hAnsi="Arial"/>
          <w:sz w:val="16"/>
          <w:szCs w:val="16"/>
          <w:color w:val="auto"/>
        </w:rPr>
        <w:t>From time to time, in the ordinary course of business, the Company is subject to litigation and regulatory examinations as well as information gathering requests, inquiries and investigations. As of March 31, 2026 and December 31, 2025, there were no matters which would have a material impact on the Company’s financial results.</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July 2022, the Company entered into a license agreement to which the Company was granted intellectual property rights in certain technology, to develop, manufacture and commercialize such technology related to the advancement of its VDMC asset. The Company is required to make development and regulatory milestone payments up to $3.3 million and commercial and sales milestone up to $16.0 million. The Company is also required to pay annual single-digit royalties on net product sales over the term of the license agreement. As of March 31, 2026, it is not practicable to estimate the future payments of any such milestone payments or royalties that may arise due to the clinical stage of development of VDMC.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Development and Manufacturing Agreement and Master Service Agreement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Master Service Agreement</w:t>
      </w:r>
    </w:p>
    <w:p>
      <w:pPr>
        <w:spacing w:after="0" w:line="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September 2020, the Company entered into a Master Service Agreement (the “MSA”). The MSA provides the terms and conditions upon which the Company may engage for the purpose of managing the preclinical and clinical development of its products in the field of dermatology, and other related services or projects, by executing work orders specifying the details of the service and the related terms and conditions. The MSA automatically renews for additional 1-year terms until the MSA is terminated upon written notice. Either party may terminate a work order for material breach (subject to a cure period) and the Company may terminate any work order for any reason on 90 days’ written notice, subject to payment of fees earned and expenses payable, in addition to a termination fee equal to a low-double-digit percentage of the remaining work order budget. As of March 31, 2026, there are no outstanding work order cancellation fees.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During the three months ended March 31, 2026 and 2025, the Company recognized research and development expense of $10.5 million and $8.6 million, respectively, in connection with the MSA. As of March 31, 2026 and December 31, 2025, the Company has deposits with the counterparty of $1.9 million and $4.1 million, respectively, which is included in prepaid expenses on its condensed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Agreement</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September 2020, the Company entered into a Collaboration Agreement, pursuant to which the counterparty serves as the exclusive provider of certain clinical trial management, regulatory, and related CRO services through completion of Work Order Number One of the MSA noted herein. In connection with the agreement, the Company issued the counterparty an unsecured convertible promissory note with a principal amount of approximately $0.5 million, which was converted into 238,008 shares of Series A-2 Preferred Stock in September 2021. The agreement may be terminated by the Company upon payment of a mid-six-figure liquidated damages amount, subject to reduction based on completed in-human clinical studies. As of March 31, 2026, there are no outstanding termination fees.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10. Related Party Transaction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Agreements with Green Line Talent Group LLC</w:t>
      </w:r>
    </w:p>
    <w:p>
      <w:pPr>
        <w:spacing w:after="0" w:line="4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 xml:space="preserve">In December 2024, the Company entered into certain talent search agreements with Green Line Talent Group LLC, or Green Line, a related party in accordance with ASC 850, </w:t>
      </w:r>
      <w:r>
        <w:rPr>
          <w:rFonts w:ascii="Arial" w:cs="Arial" w:eastAsia="Arial" w:hAnsi="Arial"/>
          <w:sz w:val="16"/>
          <w:szCs w:val="16"/>
          <w:i w:val="1"/>
          <w:iCs w:val="1"/>
          <w:color w:val="auto"/>
        </w:rPr>
        <w:t>Related Party Disclosures,</w:t>
      </w:r>
      <w:r>
        <w:rPr>
          <w:rFonts w:ascii="Arial" w:cs="Arial" w:eastAsia="Arial" w:hAnsi="Arial"/>
          <w:sz w:val="16"/>
          <w:szCs w:val="16"/>
          <w:color w:val="auto"/>
        </w:rPr>
        <w:t xml:space="preserve"> pursuant to which the Company retained Green Line on an exclusive basis to provide end-to-end recruitment services for various roles. The agreements are considered related party transactions as a Partner at Green Line is the spouse of the Company’s Chief Financial Officer. During the three months ended March 31, 2026 and 2025, the Company paid Green Line $0.2 million and less than $0.1 million, respectively, pursuant to the talent search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Segments</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defines its segments on the basis of the way in which internally reported financial information is regularly reviewed by the Chief Operating Decision Maker, or CODM, to analyze financial performance, make decisions, and allocate resources. The Company’s CODM is the Chief Executive Officer. The Company manages its operations as a single operating and reportable segment and the measure of segment profit or loss is net loss. The CODM uses net loss in the budget and forecasting process and considers budget-to-actual variances on a quarterly basis when making decisions about the allocation of operating and capital resources. The following table summarizes the significant segment expenses presented on the Company's condensed consolidated statements of operations and comprehensive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Borders>
              <w:top w:val="single" w:sz="8" w:color="auto"/>
            </w:tcBorders>
          </w:tcPr>
          <w:p>
            <w:pPr>
              <w:spacing w:after="0"/>
              <w:rPr>
                <w:sz w:val="17"/>
                <w:szCs w:val="17"/>
                <w:color w:val="auto"/>
              </w:rPr>
            </w:pPr>
          </w:p>
        </w:tc>
        <w:tc>
          <w:tcPr>
            <w:tcW w:w="3060" w:type="dxa"/>
            <w:vAlign w:val="bottom"/>
            <w:tcBorders>
              <w:top w:val="single" w:sz="8" w:color="auto"/>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2025</w:t>
            </w:r>
          </w:p>
        </w:tc>
      </w:tr>
      <w:tr>
        <w:trPr>
          <w:trHeight w:val="198"/>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Direct research and development by program</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6"/>
                <w:szCs w:val="16"/>
                <w:color w:val="auto"/>
              </w:rPr>
              <w:t>VDPHL01</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17,188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9,278</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VDMN</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16"/>
        </w:trPr>
        <w:tc>
          <w:tcPr>
            <w:tcW w:w="8180" w:type="dxa"/>
            <w:vAlign w:val="bottom"/>
          </w:tcPr>
          <w:p>
            <w:pPr>
              <w:ind w:left="220"/>
              <w:spacing w:after="0"/>
              <w:rPr>
                <w:sz w:val="20"/>
                <w:szCs w:val="20"/>
                <w:color w:val="auto"/>
              </w:rPr>
            </w:pPr>
            <w:r>
              <w:rPr>
                <w:rFonts w:ascii="Arial" w:cs="Arial" w:eastAsia="Arial" w:hAnsi="Arial"/>
                <w:sz w:val="16"/>
                <w:szCs w:val="16"/>
                <w:color w:val="auto"/>
              </w:rPr>
              <w:t>VDMC</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VDAA</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8180" w:type="dxa"/>
            <w:vAlign w:val="bottom"/>
          </w:tcPr>
          <w:p>
            <w:pPr>
              <w:ind w:left="220"/>
              <w:spacing w:after="0"/>
              <w:rPr>
                <w:sz w:val="20"/>
                <w:szCs w:val="20"/>
                <w:color w:val="auto"/>
              </w:rPr>
            </w:pPr>
            <w:r>
              <w:rPr>
                <w:rFonts w:ascii="Arial" w:cs="Arial" w:eastAsia="Arial" w:hAnsi="Arial"/>
                <w:sz w:val="16"/>
                <w:szCs w:val="16"/>
                <w:color w:val="auto"/>
              </w:rPr>
              <w:t>Other program candidates and expenses</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unallocated research and development costs</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6"/>
                <w:szCs w:val="16"/>
                <w:color w:val="auto"/>
              </w:rPr>
              <w:t>Personnel expenses (including share-based compensation)</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3,476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expenses</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8180" w:type="dxa"/>
            <w:vAlign w:val="bottom"/>
          </w:tcPr>
          <w:p>
            <w:pPr>
              <w:ind w:left="20"/>
              <w:spacing w:after="0"/>
              <w:rPr>
                <w:sz w:val="20"/>
                <w:szCs w:val="20"/>
                <w:color w:val="auto"/>
              </w:rPr>
            </w:pPr>
            <w:r>
              <w:rPr>
                <w:rFonts w:ascii="Arial" w:cs="Arial" w:eastAsia="Arial" w:hAnsi="Arial"/>
                <w:sz w:val="16"/>
                <w:szCs w:val="16"/>
                <w:color w:val="auto"/>
              </w:rPr>
              <w:t>General and administrative, excluding personnel expenses</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4,608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personnel expenses (including share-based compensation)</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18"/>
        </w:trPr>
        <w:tc>
          <w:tcPr>
            <w:tcW w:w="8180" w:type="dxa"/>
            <w:vAlign w:val="bottom"/>
            <w:tcBorders>
              <w:bottom w:val="single" w:sz="8" w:color="CCEEFF"/>
            </w:tcBorders>
          </w:tcPr>
          <w:p>
            <w:pPr>
              <w:ind w:left="20"/>
              <w:spacing w:after="0" w:line="218"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net loss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300" w:right="20" w:hanging="298"/>
        <w:spacing w:after="0" w:line="290"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three months ended March 31, 2026 other segment items include interest income of $2.5 million and investment accretion of $0.1 million. For the three months ended March 31, 2025, other segment items include interest income of $0.5 million.</w:t>
      </w: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financial statements and related notes appearing elsewhere in this Quarterly Report on Form 10-Q and the audited financial statements and related notes included in our Annual Report.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section entitled “</w:t>
      </w:r>
      <w:r>
        <w:rPr>
          <w:rFonts w:ascii="Arial" w:cs="Arial" w:eastAsia="Arial" w:hAnsi="Arial"/>
          <w:sz w:val="16"/>
          <w:szCs w:val="16"/>
          <w:i w:val="1"/>
          <w:iCs w:val="1"/>
          <w:u w:val="single" w:color="auto"/>
          <w:color w:val="0000FF"/>
        </w:rPr>
        <w:t>Risk Factors</w:t>
      </w:r>
      <w:r>
        <w:rPr>
          <w:rFonts w:ascii="Arial" w:cs="Arial" w:eastAsia="Arial" w:hAnsi="Arial"/>
          <w:sz w:val="16"/>
          <w:szCs w:val="16"/>
          <w:i w:val="1"/>
          <w:iCs w:val="1"/>
          <w:color w:val="auto"/>
        </w:rPr>
        <w:t>” in Part II, Item 1A of this Quarterly Report on Form 10-Q, our actual results could differ materially from the results described in or implied by the forward-looking statements contained in the following discussion and analysis. See “</w:t>
      </w:r>
      <w:r>
        <w:rPr>
          <w:rFonts w:ascii="Arial" w:cs="Arial" w:eastAsia="Arial" w:hAnsi="Arial"/>
          <w:sz w:val="16"/>
          <w:szCs w:val="16"/>
          <w:i w:val="1"/>
          <w:iCs w:val="1"/>
          <w:u w:val="single" w:color="auto"/>
          <w:color w:val="0000FF"/>
        </w:rPr>
        <w:t>Special Note Regarding Forward-Looking Statements</w:t>
      </w:r>
      <w:r>
        <w:rPr>
          <w:rFonts w:ascii="Arial" w:cs="Arial" w:eastAsia="Arial" w:hAnsi="Arial"/>
          <w:sz w:val="16"/>
          <w:szCs w:val="16"/>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are a dermatologist-founded, late clinical-stage biopharmaceutical company focused on developing innovative therapeutics to address pervasive treatment challenges in highly prevalent aesthetic and dermatological conditions. Our initial focus is developing better treatments for pattern hair loss, or PHL, a condition affecting approximately 50 million men and 30 million women in the United States. Current PHL treatment options are limited and therefore are consistently plagued with high rates of treatment failure, patient dissatisfaction and treatment discontinuation. Patients and healthcare providers routinely identify the following shortcomings with currently available treatment options:</w:t>
      </w:r>
    </w:p>
    <w:p>
      <w:pPr>
        <w:spacing w:after="0" w:line="102" w:lineRule="exact"/>
        <w:rPr>
          <w:sz w:val="20"/>
          <w:szCs w:val="20"/>
          <w:color w:val="auto"/>
        </w:rPr>
      </w:pPr>
    </w:p>
    <w:p>
      <w:pPr>
        <w:ind w:left="300" w:hanging="298"/>
        <w:spacing w:after="0"/>
        <w:tabs>
          <w:tab w:leader="none" w:pos="300" w:val="left"/>
        </w:tabs>
        <w:numPr>
          <w:ilvl w:val="0"/>
          <w:numId w:val="10"/>
        </w:numPr>
        <w:rPr>
          <w:rFonts w:ascii="Wingdings" w:cs="Wingdings" w:eastAsia="Wingdings" w:hAnsi="Wingdings"/>
          <w:sz w:val="12"/>
          <w:szCs w:val="12"/>
          <w:b w:val="1"/>
          <w:bCs w:val="1"/>
          <w:color w:val="auto"/>
        </w:rPr>
      </w:pPr>
      <w:r>
        <w:rPr>
          <w:rFonts w:ascii="Arial" w:cs="Arial" w:eastAsia="Arial" w:hAnsi="Arial"/>
          <w:sz w:val="16"/>
          <w:szCs w:val="16"/>
          <w:color w:val="auto"/>
        </w:rPr>
        <w:t>Slow onset of hair growth</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0"/>
        </w:numPr>
        <w:rPr>
          <w:rFonts w:ascii="Wingdings" w:cs="Wingdings" w:eastAsia="Wingdings" w:hAnsi="Wingdings"/>
          <w:sz w:val="12"/>
          <w:szCs w:val="12"/>
          <w:b w:val="1"/>
          <w:bCs w:val="1"/>
          <w:color w:val="auto"/>
        </w:rPr>
      </w:pPr>
      <w:r>
        <w:rPr>
          <w:rFonts w:ascii="Arial" w:cs="Arial" w:eastAsia="Arial" w:hAnsi="Arial"/>
          <w:sz w:val="16"/>
          <w:szCs w:val="16"/>
          <w:color w:val="auto"/>
        </w:rPr>
        <w:t>Inconsistent results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0"/>
        </w:numPr>
        <w:rPr>
          <w:rFonts w:ascii="Wingdings" w:cs="Wingdings" w:eastAsia="Wingdings" w:hAnsi="Wingdings"/>
          <w:sz w:val="12"/>
          <w:szCs w:val="12"/>
          <w:b w:val="1"/>
          <w:bCs w:val="1"/>
          <w:color w:val="auto"/>
        </w:rPr>
      </w:pPr>
      <w:r>
        <w:rPr>
          <w:rFonts w:ascii="Arial" w:cs="Arial" w:eastAsia="Arial" w:hAnsi="Arial"/>
          <w:sz w:val="16"/>
          <w:szCs w:val="16"/>
          <w:color w:val="auto"/>
        </w:rPr>
        <w:t>Insufficient density of hair growth for patient satisfaction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0"/>
        </w:numPr>
        <w:rPr>
          <w:rFonts w:ascii="Wingdings" w:cs="Wingdings" w:eastAsia="Wingdings" w:hAnsi="Wingdings"/>
          <w:sz w:val="12"/>
          <w:szCs w:val="12"/>
          <w:b w:val="1"/>
          <w:bCs w:val="1"/>
          <w:color w:val="auto"/>
        </w:rPr>
      </w:pPr>
      <w:r>
        <w:rPr>
          <w:rFonts w:ascii="Arial" w:cs="Arial" w:eastAsia="Arial" w:hAnsi="Arial"/>
          <w:sz w:val="16"/>
          <w:szCs w:val="16"/>
          <w:color w:val="auto"/>
        </w:rPr>
        <w:t>Tolerability issues related to hormonal, mood and cardiac side effects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0"/>
        </w:numPr>
        <w:rPr>
          <w:rFonts w:ascii="Wingdings" w:cs="Wingdings" w:eastAsia="Wingdings" w:hAnsi="Wingdings"/>
          <w:sz w:val="12"/>
          <w:szCs w:val="12"/>
          <w:b w:val="1"/>
          <w:bCs w:val="1"/>
          <w:color w:val="auto"/>
        </w:rPr>
      </w:pPr>
      <w:r>
        <w:rPr>
          <w:rFonts w:ascii="Arial" w:cs="Arial" w:eastAsia="Arial" w:hAnsi="Arial"/>
          <w:sz w:val="16"/>
          <w:szCs w:val="16"/>
          <w:color w:val="auto"/>
        </w:rPr>
        <w:t>Inconvenient administration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0"/>
        </w:numPr>
        <w:rPr>
          <w:rFonts w:ascii="Wingdings" w:cs="Wingdings" w:eastAsia="Wingdings" w:hAnsi="Wingdings"/>
          <w:sz w:val="12"/>
          <w:szCs w:val="12"/>
          <w:b w:val="1"/>
          <w:bCs w:val="1"/>
          <w:color w:val="auto"/>
        </w:rPr>
      </w:pPr>
      <w:r>
        <w:rPr>
          <w:rFonts w:ascii="Arial" w:cs="Arial" w:eastAsia="Arial" w:hAnsi="Arial"/>
          <w:sz w:val="16"/>
          <w:szCs w:val="16"/>
          <w:color w:val="auto"/>
        </w:rPr>
        <w:t>Limited FDA-approved treatment options, and no FDA-approved oral options for women</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are developing VDPHL01 as an oral, non-hormonal treatment for men and women with PHL to reduce the barriers to wide adoption of chronic hair loss therapy and potentially transform PHL treatment. We believe that a marketing application could initially seek approval in male patients, followed by an sNDA for female patients, or could alternatively pursue approval in both male and female patients simultaneously depending on the timing of the completion of our clinical trials.</w:t>
      </w:r>
    </w:p>
    <w:p>
      <w:pPr>
        <w:spacing w:after="0" w:line="161"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VDPHL01 is an oral, extended-release, or ER, formulation of minoxidil, a proven hair growth agent, designed to maximize minoxidil’s impact on hair restoration while minimizing the risk of cardiac activity. Though immediate-release, or IR, oral minoxidil was originally designed to treat resistant hypertension, it has been used off label as a treatment for PHL after hair growth was observed as a side effect. However, IR oral minoxidil’s release profile was not designed for hair growth as its short duration of circulation allows less time for follicular saturation and must be used at lower doses to reduce the likelihood of reaching off target cardiac stimulative levels. VDPHL01 builds on minoxidil’s validated hair growth biology via a novel and proprietary ER formulation designed to maximize the total plasma concentrations of minoxidil known to grow hair without inducing changes in cardiac activity. We believe that our efforts mark the first attempt to bring an ER formulation of minoxidil to patients with these optimized pharmacokinetics and pharmacodynamics qualities that raise the ceiling of hair growth.</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milestones have been achieved to date through the first quarter of 2026:</w:t>
      </w:r>
    </w:p>
    <w:p>
      <w:pPr>
        <w:spacing w:after="0" w:line="149" w:lineRule="exact"/>
        <w:rPr>
          <w:sz w:val="20"/>
          <w:szCs w:val="20"/>
          <w:color w:val="auto"/>
        </w:rPr>
      </w:pPr>
    </w:p>
    <w:p>
      <w:pPr>
        <w:ind w:left="300" w:hanging="298"/>
        <w:spacing w:after="0"/>
        <w:tabs>
          <w:tab w:leader="none" w:pos="300" w:val="left"/>
        </w:tabs>
        <w:numPr>
          <w:ilvl w:val="0"/>
          <w:numId w:val="11"/>
        </w:numPr>
        <w:rPr>
          <w:rFonts w:ascii="Wingdings" w:cs="Wingdings" w:eastAsia="Wingdings" w:hAnsi="Wingdings"/>
          <w:sz w:val="12"/>
          <w:szCs w:val="12"/>
          <w:b w:val="1"/>
          <w:bCs w:val="1"/>
          <w:color w:val="auto"/>
        </w:rPr>
      </w:pPr>
      <w:r>
        <w:rPr>
          <w:rFonts w:ascii="Arial" w:cs="Arial" w:eastAsia="Arial" w:hAnsi="Arial"/>
          <w:sz w:val="16"/>
          <w:szCs w:val="16"/>
          <w:color w:val="auto"/>
        </w:rPr>
        <w:t>completion of enrollment in our confirmatory registration-directed Phase 3 trial in male patients with mild-to-moderate PHL; and</w:t>
      </w:r>
    </w:p>
    <w:p>
      <w:pPr>
        <w:spacing w:after="0" w:line="46" w:lineRule="exact"/>
        <w:rPr>
          <w:rFonts w:ascii="Wingdings" w:cs="Wingdings" w:eastAsia="Wingdings" w:hAnsi="Wingdings"/>
          <w:sz w:val="12"/>
          <w:szCs w:val="12"/>
          <w:b w:val="1"/>
          <w:bCs w:val="1"/>
          <w:color w:val="auto"/>
        </w:rPr>
      </w:pPr>
    </w:p>
    <w:p>
      <w:pPr>
        <w:ind w:left="300" w:right="100" w:hanging="298"/>
        <w:spacing w:after="0" w:line="270" w:lineRule="auto"/>
        <w:tabs>
          <w:tab w:leader="none" w:pos="299" w:val="left"/>
        </w:tabs>
        <w:numPr>
          <w:ilvl w:val="0"/>
          <w:numId w:val="11"/>
        </w:numPr>
        <w:rPr>
          <w:rFonts w:ascii="Wingdings" w:cs="Wingdings" w:eastAsia="Wingdings" w:hAnsi="Wingdings"/>
          <w:sz w:val="12"/>
          <w:szCs w:val="12"/>
          <w:b w:val="1"/>
          <w:bCs w:val="1"/>
          <w:color w:val="auto"/>
        </w:rPr>
      </w:pPr>
      <w:r>
        <w:rPr>
          <w:rFonts w:ascii="Arial" w:cs="Arial" w:eastAsia="Arial" w:hAnsi="Arial"/>
          <w:sz w:val="16"/>
          <w:szCs w:val="16"/>
          <w:color w:val="auto"/>
        </w:rPr>
        <w:t>completion of our initial public offering, or IPO, pursuant to which we issued and sold an aggregate of 17,339,294 shares of common stock at a price to the public of $17.00 per share, including 2,261,647 shares issued upon the exercise in full of the underwriters’ over-allotment option to purchase additional shares. We received aggregate net proceeds of $269.1 million after deducting underwriting discounts, commissions and offering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first quarter of 2026, the following milestones have been achieved:</w:t>
      </w:r>
    </w:p>
    <w:p>
      <w:pPr>
        <w:spacing w:after="0" w:line="149" w:lineRule="exact"/>
        <w:rPr>
          <w:sz w:val="20"/>
          <w:szCs w:val="20"/>
          <w:color w:val="auto"/>
        </w:rPr>
      </w:pPr>
    </w:p>
    <w:p>
      <w:pPr>
        <w:jc w:val="both"/>
        <w:ind w:left="300" w:right="380" w:hanging="298"/>
        <w:spacing w:after="0" w:line="278" w:lineRule="auto"/>
        <w:tabs>
          <w:tab w:leader="none" w:pos="299" w:val="left"/>
        </w:tabs>
        <w:numPr>
          <w:ilvl w:val="0"/>
          <w:numId w:val="12"/>
        </w:numPr>
        <w:rPr>
          <w:rFonts w:ascii="Wingdings" w:cs="Wingdings" w:eastAsia="Wingdings" w:hAnsi="Wingdings"/>
          <w:sz w:val="12"/>
          <w:szCs w:val="12"/>
          <w:b w:val="1"/>
          <w:bCs w:val="1"/>
          <w:color w:val="auto"/>
        </w:rPr>
      </w:pPr>
      <w:r>
        <w:rPr>
          <w:rFonts w:ascii="Arial" w:cs="Arial" w:eastAsia="Arial" w:hAnsi="Arial"/>
          <w:sz w:val="16"/>
          <w:szCs w:val="16"/>
          <w:color w:val="auto"/>
        </w:rPr>
        <w:t>In May 2026, we completed our underwritten public offering, or the Follow-On Public Offering, of 4,420,358 shares of our common stock, par value $0.00001 per share, or Common Stock, at a public offering price of $100.00 per share, including 576,568 shares pursuant to the full exercise of the underwriters’ option to purchase additional shares. The gross proceeds from the Follow-On Public Offering were approximately $442.0 million,</w:t>
      </w: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24" w:name="page25"/>
    <w:bookmarkEnd w:id="24"/>
    <w:p>
      <w:pPr>
        <w:ind w:left="300" w:right="40"/>
        <w:spacing w:after="0" w:line="264" w:lineRule="auto"/>
        <w:rPr>
          <w:sz w:val="20"/>
          <w:szCs w:val="20"/>
          <w:color w:val="auto"/>
        </w:rPr>
      </w:pPr>
      <w:r>
        <w:rPr>
          <w:rFonts w:ascii="Arial" w:cs="Arial" w:eastAsia="Arial" w:hAnsi="Arial"/>
          <w:sz w:val="16"/>
          <w:szCs w:val="16"/>
          <w:color w:val="auto"/>
        </w:rPr>
        <w:t>before deducting underwriting fees and discounts. Concurrently with the Follow On Public Offering, on May 1, 2026, we closed a private placement, or the Private Placement, pursuant to a Securities Purchase Agreement, or the Purchase Agreement, dated April 29, 2026, among us and certain entities affiliated with Suvretta Capital, or each, an Investor, and collectively, the Investors, in which we sold to the Investors pre-funded warrants, or the Pre-Funded Warrants, to purchase an aggregate of 300,000 shares of Common Stock, at an offering price of $99.99999 per Pre-Funded Warrant. The gross proceeds of the Private Placement were approximately $30.0 million, before deducting placement agent fees and other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Study ‘302’ Data</w:t>
      </w:r>
    </w:p>
    <w:p>
      <w:pPr>
        <w:spacing w:after="0" w:line="14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April 27, 2026, we announced positive topline data from the Phase 2/3 clinical trial, or Study ‘302’, evaluating VDPHL01 in males with mild-to-moderate PHL. Study ‘302’ is a multi-center, randomized, placebo-controlled study evaluating the clinical efficacy, safety, and tolerability in 519 enrolled patients who were randomized to receive either VDPHL01 8.5mg once daily, or QD, VDPHL01 8.5mg twice daily, or BID, or placebo. The trial met all primary and all key secondary endpoints with statistical significance, demonstrating a potentially differentiated clinical profile defined by rapid onset of activity, consistent response across patients, and robust increases in hair count while being generally well tolerated with no treatment-related serious adverse events, or SAEs, and no adverse events of special interest, or AESIs, of cardiac origin.</w:t>
      </w:r>
    </w:p>
    <w:p>
      <w:pPr>
        <w:spacing w:after="0" w:line="134" w:lineRule="exact"/>
        <w:rPr>
          <w:sz w:val="20"/>
          <w:szCs w:val="20"/>
          <w:color w:val="auto"/>
        </w:rPr>
      </w:pPr>
    </w:p>
    <w:p>
      <w:pPr>
        <w:jc w:val="both"/>
        <w:ind w:right="100"/>
        <w:spacing w:after="0" w:line="207" w:lineRule="exact"/>
        <w:rPr>
          <w:sz w:val="20"/>
          <w:szCs w:val="20"/>
          <w:color w:val="auto"/>
        </w:rPr>
      </w:pPr>
      <w:r>
        <w:rPr>
          <w:rFonts w:ascii="Arial" w:cs="Arial" w:eastAsia="Arial" w:hAnsi="Arial"/>
          <w:sz w:val="16"/>
          <w:szCs w:val="16"/>
          <w:color w:val="auto"/>
        </w:rPr>
        <w:t>In the study, VDPHL01 achieved superior hair growth compared with placebo (p&lt;0.0001) on the co</w:t>
      </w:r>
      <w:r>
        <w:rPr>
          <w:rFonts w:ascii="MS PGothic" w:cs="MS PGothic" w:eastAsia="MS PGothic" w:hAnsi="MS PGothic"/>
          <w:sz w:val="16"/>
          <w:szCs w:val="16"/>
          <w:color w:val="auto"/>
        </w:rPr>
        <w:t>‑</w:t>
      </w:r>
      <w:r>
        <w:rPr>
          <w:rFonts w:ascii="Arial" w:cs="Arial" w:eastAsia="Arial" w:hAnsi="Arial"/>
          <w:sz w:val="16"/>
          <w:szCs w:val="16"/>
          <w:color w:val="auto"/>
        </w:rPr>
        <w:t>primary endpoints of non-vellus Target Area Hair Count, or TAHC, and patient reported outcome, or PRO, benefit of ‘improved’ or ‘much improved’ on the Androgenetic Alopecia Impact Rating Scale, or AAIRS, at Month 6. Patients achieved an average increase in non-vellus TAHC of 30.3 hairs/cm² (p&lt;0.0001) and 33.0 hairs/cm² (p&lt;0.0001) in QD and BID VDPHL01 treatment arms, respectively. Those receiving placebo only showed a 7.3 hairs/cm² increase from baseline at Month 6.</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Following 6 months of treatment with VDPHL01, 79.3% of patients in the QD dose arm (p&lt;0.0001) and 86.0% of patients in the BID dose arm (p&lt;0.0001) reported improvement in hair coverage on the AAIRS versus 35.6% of placebo patients. Additionally, 48.4% of patients in the QD dose arm (p&lt;0.0001) and 62.9% of patients in the BID dose arm (p&lt;0.0001) achieved ‘improved’ or ‘much improved’ hair coverage on the AAIRS compared to only 13.4% of placebo patients.</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addition to meeting the co-primary endpoints, the study also met the key secondary endpoints. Investigator perception was measured with investigators grading 72.0% (QD; p&lt;0.0001) and 84.4% (BID; p&lt;0.0001) of male patients as having improved hair coverage at Month 6 (p&lt;0.0001). Rapid onset of hair growth was also observed at the earliest measured time point measured in the trial, with statistically significant separation from placebo on TAHC and IGA as early as Month 2.</w:t>
      </w:r>
    </w:p>
    <w:p>
      <w:pPr>
        <w:spacing w:after="0" w:line="16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Treatment with VDPHL01 was generally well tolerated through Month 6 with overall treatment-emergent adverse events, or TEAEs, rates similar between VDPHL01 and placebo, and with an overall safety profile consistent with Phase 2. VDPHL01 demonstrated lower discontinuation rates than placebo, and the adverse event-related discontinuation rate was similar between active and placebo. No treatment-related SAEs and no AESIs of cardiac origin were observed in the study. The most common TEAEs occurring in greater than 5% of patients vs. placebo included peripheral edema (5.3% QD, 6.3% BID) and hypertrichosis (3.5% QD, 6.3% BID). These TEAEs resulted in approximately 1% discontinuation for both QD and BID dosing groups for peripheral edema and no discontinuations occurred related to hypertrichosis in either the QD or the BID dosing groups.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Updates</w:t>
      </w:r>
    </w:p>
    <w:p>
      <w:pPr>
        <w:spacing w:after="0" w:line="198"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Following the receipt of the Study ‘302’ topline data, we fielded a double-blind proprietary market research survey with 153 health care providers, or HCPs, and 190 male patients to gauge early reactions to the male Study ‘302’ topline data. The results of this proprietary market research survey indicated robust intent to prescribe and use VDPHL01 among HCPs and male patients if approved by the FDA:</w:t>
      </w:r>
    </w:p>
    <w:p>
      <w:pPr>
        <w:spacing w:after="0" w:line="91" w:lineRule="exact"/>
        <w:rPr>
          <w:sz w:val="20"/>
          <w:szCs w:val="20"/>
          <w:color w:val="auto"/>
        </w:rPr>
      </w:pPr>
    </w:p>
    <w:p>
      <w:pPr>
        <w:ind w:left="620" w:right="380" w:hanging="310"/>
        <w:spacing w:after="0" w:line="270" w:lineRule="auto"/>
        <w:tabs>
          <w:tab w:leader="none" w:pos="619" w:val="left"/>
        </w:tabs>
        <w:numPr>
          <w:ilvl w:val="0"/>
          <w:numId w:val="13"/>
        </w:numPr>
        <w:rPr>
          <w:rFonts w:ascii="Wingdings" w:cs="Wingdings" w:eastAsia="Wingdings" w:hAnsi="Wingdings"/>
          <w:sz w:val="12"/>
          <w:szCs w:val="12"/>
          <w:b w:val="1"/>
          <w:bCs w:val="1"/>
          <w:color w:val="auto"/>
        </w:rPr>
      </w:pPr>
      <w:r>
        <w:rPr>
          <w:rFonts w:ascii="Arial" w:cs="Arial" w:eastAsia="Arial" w:hAnsi="Arial"/>
          <w:sz w:val="16"/>
          <w:szCs w:val="16"/>
          <w:color w:val="auto"/>
        </w:rPr>
        <w:t>91% of surveyed HCPs viewed VDPHL01 as being positively differentiated versus the currently available treatment options for PHL and 63% of HCPs say VDPHL01 is very or extremely differentiated. 73% of HCPs also indicated they would be either very or extremely likely to prescribe VDPHL01 once approved. HCPs in the study also indicated that they would expect to treat 52% of their male PHL patients with VDPHL01.</w:t>
      </w: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5" w:name="page26"/>
    <w:bookmarkEnd w:id="25"/>
    <w:p>
      <w:pPr>
        <w:ind w:left="620" w:right="140" w:hanging="310"/>
        <w:spacing w:after="0" w:line="270" w:lineRule="auto"/>
        <w:tabs>
          <w:tab w:leader="none" w:pos="619" w:val="left"/>
        </w:tabs>
        <w:numPr>
          <w:ilvl w:val="0"/>
          <w:numId w:val="14"/>
        </w:numPr>
        <w:rPr>
          <w:rFonts w:ascii="Wingdings" w:cs="Wingdings" w:eastAsia="Wingdings" w:hAnsi="Wingdings"/>
          <w:sz w:val="12"/>
          <w:szCs w:val="12"/>
          <w:b w:val="1"/>
          <w:bCs w:val="1"/>
          <w:color w:val="auto"/>
        </w:rPr>
      </w:pPr>
      <w:r>
        <w:rPr>
          <w:rFonts w:ascii="Arial" w:cs="Arial" w:eastAsia="Arial" w:hAnsi="Arial"/>
          <w:sz w:val="16"/>
          <w:szCs w:val="16"/>
          <w:color w:val="auto"/>
        </w:rPr>
        <w:t>95% of surveyed patients viewed VDPHL01 as being positively differentiated versus the currently available treatment options for PHL and 71% of patients said VDPHL01 is very or extremely positively differentiated. 71% of patients also indicated they would be highly likely to talk to their doctor about VDPHL01.</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 expects to release 12-month data from this 302 study and additional Phase 2 data in 2026.</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the Company’s Financial Condition and Results of Operations</w:t>
      </w:r>
    </w:p>
    <w:p>
      <w:pPr>
        <w:spacing w:after="0" w:line="68"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Since our inception we have devoted substantially all of our time and efforts to performing research and development activities, raising capital and recruiting management and technical staff to support our operations. We have never obtained regulatory approval for, or commercialized, a pharmaceutical product. We currently generate no revenue from sales of any products, and we may never be able to develop or commercialize a marketable product. To date, we have financed our operations primarily with proceeds from the sales of our redeemable convertible preferred stock and proceeds from our IPO.</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incurred recurring net losses since inception, including net losses of $27.2 million and $12.4 million for the three months ended March 31, 2026 and 2025, respectively. We have incurred negative cash flows from operations of $21.2 million and $13.3 million for the three months ended March 31, 2026 and 2025, respectively. In addition, as of March 31, 2026, the Company had an accumulated deficit of $150.7 million. Substantially all of our operating losses have resulted from expenses incurred in connection with development of VDPHL01 and our other product candidates and from general and administrative costs associated with our operations. We expect to incur significant losses for the foreseeable future, as we advance VDPHL01 or any of our other current and future product candidates through clinical development, seek regulatory approval for such product candidates, maintain and expand our intellectual property portfolio, hire additional research and development and business personnel, conduct pre-commercial launch activities and infrastructure building, and operate as a public company.</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will not generate revenue from product sales unless and until we successfully complete clinical development and obtain regulatory approval for our product candidates. In addition, if we obtain regulatory approval for our product candidates, we expect to incur significant expenses related to developing our commercialization capability to support product sales, marketing, manufacturing and distribution activities initially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We anticipate that our expenses will increase substantially if, and as, we:</w:t>
      </w:r>
    </w:p>
    <w:p>
      <w:pPr>
        <w:spacing w:after="0" w:line="149" w:lineRule="exact"/>
        <w:rPr>
          <w:sz w:val="20"/>
          <w:szCs w:val="20"/>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continue development of VDPHL01 and our other current product candidates, including preclinical development and conducting clinical trials;</w:t>
      </w:r>
    </w:p>
    <w:p>
      <w:pPr>
        <w:spacing w:after="0" w:line="46" w:lineRule="exact"/>
        <w:rPr>
          <w:rFonts w:ascii="Wingdings" w:cs="Wingdings" w:eastAsia="Wingdings" w:hAnsi="Wingdings"/>
          <w:sz w:val="12"/>
          <w:szCs w:val="12"/>
          <w:b w:val="1"/>
          <w:bCs w:val="1"/>
          <w:color w:val="auto"/>
        </w:rPr>
      </w:pPr>
    </w:p>
    <w:p>
      <w:pPr>
        <w:ind w:left="300" w:right="200" w:hanging="298"/>
        <w:spacing w:after="0" w:line="275" w:lineRule="auto"/>
        <w:tabs>
          <w:tab w:leader="none" w:pos="299"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seek marketing regulatory approvals for VDPHL01 and for any of our other current or any future product candidates that successfully complete clinical trials;</w:t>
      </w: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take steps toward supporting commercial activities, including establishing sales, marketing and distribution infrastructure;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increase marketing in connection with the potential commercialization of VDPHL01, if approved;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advance additional product candidates through preclinical development and clinical trials;</w:t>
      </w:r>
    </w:p>
    <w:p>
      <w:pPr>
        <w:spacing w:after="0" w:line="46" w:lineRule="exact"/>
        <w:rPr>
          <w:rFonts w:ascii="Wingdings" w:cs="Wingdings" w:eastAsia="Wingdings" w:hAnsi="Wingdings"/>
          <w:sz w:val="12"/>
          <w:szCs w:val="12"/>
          <w:b w:val="1"/>
          <w:bCs w:val="1"/>
          <w:color w:val="auto"/>
        </w:rPr>
      </w:pPr>
    </w:p>
    <w:p>
      <w:pPr>
        <w:ind w:left="300" w:right="400" w:hanging="298"/>
        <w:spacing w:after="0" w:line="275" w:lineRule="auto"/>
        <w:tabs>
          <w:tab w:leader="none" w:pos="299"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identify additional product candidates and acquire rights from third parties to those product candidates through licenses or acquisitions and conduct development activities, including preclinical studies and clinical trials;</w:t>
      </w: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make royalty, milestone or other payments under any current or future license or collaboration agreements;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procure the manufacturing of preclinical, clinical and commercial supply of our current or any future product candidates;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establish agreements with contract research organizations and CMOs;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attract, hire and retain additional qualified clinical, scientific, operations and management personnel;</w:t>
      </w:r>
    </w:p>
    <w:p>
      <w:pPr>
        <w:spacing w:after="0" w:line="46" w:lineRule="exact"/>
        <w:rPr>
          <w:rFonts w:ascii="Wingdings" w:cs="Wingdings" w:eastAsia="Wingdings" w:hAnsi="Wingdings"/>
          <w:sz w:val="12"/>
          <w:szCs w:val="12"/>
          <w:b w:val="1"/>
          <w:bCs w:val="1"/>
          <w:color w:val="auto"/>
        </w:rPr>
      </w:pPr>
    </w:p>
    <w:p>
      <w:pPr>
        <w:ind w:left="300" w:right="360" w:hanging="298"/>
        <w:spacing w:after="0" w:line="275" w:lineRule="auto"/>
        <w:tabs>
          <w:tab w:leader="none" w:pos="299"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seek to continue to develop, maintain and defend our intellectual property portfolio, including against third-party interference, infringement and other intellectual property claims, if any;</w:t>
      </w: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add and maintain operational, financial and information management systems;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attempt to address any competing therapies and market developments;</w:t>
      </w:r>
    </w:p>
    <w:p>
      <w:pPr>
        <w:spacing w:after="0" w:line="46" w:lineRule="exact"/>
        <w:rPr>
          <w:rFonts w:ascii="Wingdings" w:cs="Wingdings" w:eastAsia="Wingdings" w:hAnsi="Wingdings"/>
          <w:sz w:val="12"/>
          <w:szCs w:val="12"/>
          <w:b w:val="1"/>
          <w:bCs w:val="1"/>
          <w:color w:val="auto"/>
        </w:rPr>
      </w:pPr>
    </w:p>
    <w:p>
      <w:pPr>
        <w:ind w:left="300" w:right="20" w:hanging="298"/>
        <w:spacing w:after="0" w:line="275" w:lineRule="auto"/>
        <w:tabs>
          <w:tab w:leader="none" w:pos="299"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experience delays in our preclinical studies, clinical trials or regulatory approval for our current or any future product candidates, including with respect to failed studies, inconclusive results, safety issues or other regulatory challenges; and</w:t>
      </w:r>
    </w:p>
    <w:p>
      <w:pPr>
        <w:ind w:left="300" w:right="40" w:hanging="298"/>
        <w:spacing w:after="0" w:line="270" w:lineRule="auto"/>
        <w:tabs>
          <w:tab w:leader="none" w:pos="299" w:val="left"/>
        </w:tabs>
        <w:numPr>
          <w:ilvl w:val="0"/>
          <w:numId w:val="15"/>
        </w:numPr>
        <w:rPr>
          <w:rFonts w:ascii="Wingdings" w:cs="Wingdings" w:eastAsia="Wingdings" w:hAnsi="Wingdings"/>
          <w:sz w:val="12"/>
          <w:szCs w:val="12"/>
          <w:b w:val="1"/>
          <w:bCs w:val="1"/>
          <w:color w:val="auto"/>
        </w:rPr>
      </w:pPr>
      <w:r>
        <w:rPr>
          <w:rFonts w:ascii="Arial" w:cs="Arial" w:eastAsia="Arial" w:hAnsi="Arial"/>
          <w:sz w:val="16"/>
          <w:szCs w:val="16"/>
          <w:color w:val="auto"/>
        </w:rPr>
        <w:t>incur additional costs associated with being a public company, including audit, legal, regulatory and tax-related services associated with maintaining compliance with an exchange listing and the U.S. Securities and Exchange Commission, or SEC, requirements, director and officer insurance premiums and investor relations costs.</w:t>
      </w: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ind w:right="40"/>
        <w:spacing w:after="0" w:line="258" w:lineRule="auto"/>
        <w:rPr>
          <w:sz w:val="20"/>
          <w:szCs w:val="20"/>
          <w:color w:val="auto"/>
        </w:rPr>
      </w:pPr>
      <w:r>
        <w:rPr>
          <w:rFonts w:ascii="Arial" w:cs="Arial" w:eastAsia="Arial" w:hAnsi="Arial"/>
          <w:sz w:val="16"/>
          <w:szCs w:val="16"/>
          <w:color w:val="auto"/>
        </w:rPr>
        <w:t>We may never succeed in these activities and, even if we do, may never generate any revenue or revenue that is significant enough to achieve profitability. Even if we succeed in commercializing VDPHL01 or one or more of our other product candidates, we will incur substantial expenditures to develop and market additional product candidates. We also may encounter unforeseen expenses, difficulties, complications, delays and other events that adversely affect our business.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spacing w:after="0" w:line="18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At this time, due to the inherently unpredictable nature of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sustain profitability on a continuing basis, then we may be unable to raise additional capital, maintain our research and development efforts, expand our business or continue our operations at planned levels, and as a result we may be forced to substantially reduce or terminate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45"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Research and development expenses consist primarily of costs incurred in connection with our research and development activities, these can include drug discovery efforts and the development of our product candidates. We expense research and development costs as incurred, which include:</w:t>
      </w:r>
    </w:p>
    <w:p>
      <w:pPr>
        <w:spacing w:after="0" w:line="54" w:lineRule="exact"/>
        <w:rPr>
          <w:sz w:val="20"/>
          <w:szCs w:val="20"/>
          <w:color w:val="auto"/>
        </w:rPr>
      </w:pPr>
    </w:p>
    <w:p>
      <w:pPr>
        <w:ind w:left="300" w:hanging="298"/>
        <w:spacing w:after="0" w:line="275" w:lineRule="auto"/>
        <w:tabs>
          <w:tab w:leader="none" w:pos="299"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external research and development expenses incurred under agreements with third parties, such as CROs, as well as investigative sites and consultants that conduct our clinical trials and other scientific development services;</w:t>
      </w: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costs related to manufacturing material for our clinical trials, including fees paid to CMOs;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manufacturing scale-up expenses and the cost of acquiring and manufacturing clinical trial materials;</w:t>
      </w:r>
    </w:p>
    <w:p>
      <w:pPr>
        <w:spacing w:after="0" w:line="46" w:lineRule="exact"/>
        <w:rPr>
          <w:rFonts w:ascii="Wingdings" w:cs="Wingdings" w:eastAsia="Wingdings" w:hAnsi="Wingdings"/>
          <w:sz w:val="12"/>
          <w:szCs w:val="12"/>
          <w:b w:val="1"/>
          <w:bCs w:val="1"/>
          <w:color w:val="auto"/>
        </w:rPr>
      </w:pPr>
    </w:p>
    <w:p>
      <w:pPr>
        <w:ind w:left="300" w:right="220" w:hanging="298"/>
        <w:spacing w:after="0" w:line="275" w:lineRule="auto"/>
        <w:tabs>
          <w:tab w:leader="none" w:pos="299"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employee-related expenses, including salaries, bonuses, benefits, stock-based compensation and other related costs for those employees involved in research and development efforts;</w:t>
      </w: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costs of outside consultants supporting research and development;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the costs of acquiring and developing clinical trial materials;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clinical trial recruitment costs;</w:t>
      </w:r>
    </w:p>
    <w:p>
      <w:pPr>
        <w:spacing w:after="0" w:line="46" w:lineRule="exact"/>
        <w:rPr>
          <w:rFonts w:ascii="Wingdings" w:cs="Wingdings" w:eastAsia="Wingdings" w:hAnsi="Wingdings"/>
          <w:sz w:val="12"/>
          <w:szCs w:val="12"/>
          <w:b w:val="1"/>
          <w:bCs w:val="1"/>
          <w:color w:val="auto"/>
        </w:rPr>
      </w:pPr>
    </w:p>
    <w:p>
      <w:pPr>
        <w:ind w:left="300" w:right="980" w:hanging="298"/>
        <w:spacing w:after="0" w:line="275" w:lineRule="auto"/>
        <w:tabs>
          <w:tab w:leader="none" w:pos="299"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expenses to acquire technologies, such as intellectual property, to be used in research and development including in-process research and development, that has no alternative future use at the time of asset acquisitions;</w:t>
      </w: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costs related to compliance with regulatory requirements;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6"/>
        </w:numPr>
        <w:rPr>
          <w:rFonts w:ascii="Wingdings" w:cs="Wingdings" w:eastAsia="Wingdings" w:hAnsi="Wingdings"/>
          <w:sz w:val="12"/>
          <w:szCs w:val="12"/>
          <w:b w:val="1"/>
          <w:bCs w:val="1"/>
          <w:color w:val="auto"/>
        </w:rPr>
      </w:pPr>
      <w:r>
        <w:rPr>
          <w:rFonts w:ascii="Arial" w:cs="Arial" w:eastAsia="Arial" w:hAnsi="Arial"/>
          <w:sz w:val="16"/>
          <w:szCs w:val="16"/>
          <w:color w:val="auto"/>
        </w:rPr>
        <w:t>other indirect costs.</w:t>
      </w:r>
    </w:p>
    <w:p>
      <w:pPr>
        <w:spacing w:after="0" w:line="21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Costs for certain activities are recognized based on an evaluation of the progress to completion of each specific contract using information and data provided to us by our vendors and analyzing the progress of our research studies or other services performed. Significant judgments and estimates are made in determining the expenses incurred balances at the end of any reporting period.</w:t>
      </w:r>
    </w:p>
    <w:p>
      <w:pPr>
        <w:spacing w:after="0" w:line="160"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w:t>
      </w:r>
    </w:p>
    <w:p>
      <w:pPr>
        <w:spacing w:after="0" w:line="16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spacing w:after="0" w:line="200" w:lineRule="exact"/>
        <w:rPr>
          <w:sz w:val="20"/>
          <w:szCs w:val="20"/>
          <w:color w:val="auto"/>
        </w:rPr>
      </w:pPr>
    </w:p>
    <w:p>
      <w:pPr>
        <w:spacing w:after="0" w:line="3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7" w:name="page28"/>
    <w:bookmarkEnd w:id="27"/>
    <w:p>
      <w:pPr>
        <w:ind w:right="80"/>
        <w:spacing w:after="0" w:line="261"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in the foreseeable future as we continue the development of our product candidates and manufacturing processes and conduct discovery and research activities for our clinical programs. We cannot determine with certainty the timing of initiation, the duration or the completion costs of current or future clinical trials of our product candidates due to the inherently unpredictable nature of preclinical and clinical development. We will need to raise substantial additional capital in the future. Our clinical development costs are expected to increase significantly with our ongoing clinical trials. We anticipate that our expenses will increase substantially, particularly due to the numerous risks and uncertainties associated with developing product candidates, including the uncertainty of:</w:t>
      </w:r>
    </w:p>
    <w:p>
      <w:pPr>
        <w:spacing w:after="0" w:line="106" w:lineRule="exact"/>
        <w:rPr>
          <w:sz w:val="20"/>
          <w:szCs w:val="20"/>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the scope, rate of progress and expenses of our ongoing research activities and clinical trials and other research and development activities;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successful enrollment in and completion of clinical trials;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whether our product candidates show safety and efficacy in our clinical trials;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receipt of marketing approvals from applicable regulatory authorities;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establishing commercial manufacturing capabilities or making arrangements with third-party manufacturers;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obtaining and maintaining patent and trade secret protection and regulatory exclusivity for our product candidates;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commercializing product candidates, if and when approved, whether alone or in collaboration with others;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17"/>
        </w:numPr>
        <w:rPr>
          <w:rFonts w:ascii="Wingdings" w:cs="Wingdings" w:eastAsia="Wingdings" w:hAnsi="Wingdings"/>
          <w:sz w:val="12"/>
          <w:szCs w:val="12"/>
          <w:b w:val="1"/>
          <w:bCs w:val="1"/>
          <w:color w:val="auto"/>
        </w:rPr>
      </w:pPr>
      <w:r>
        <w:rPr>
          <w:rFonts w:ascii="Arial" w:cs="Arial" w:eastAsia="Arial" w:hAnsi="Arial"/>
          <w:sz w:val="16"/>
          <w:szCs w:val="16"/>
          <w:color w:val="auto"/>
        </w:rPr>
        <w:t>continued acceptable safety profile of the products following any regulatory approval.</w:t>
      </w:r>
    </w:p>
    <w:p>
      <w:pPr>
        <w:spacing w:after="0" w:line="213"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clinical development could mean a significant change in the costs and timing associated with the development of these product candidates.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clinical trials, regulatory developments and our ongoing assessment as to each product candidate’s commercial potential. However, we may never succeed in achieving regulatory approval for any of our product candidates and may obtain unexpected results from our clinical trials. As a result, we may elect to discontinue, delay or modify clinical trials of some product candidates or focus on others.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6"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anticipate that our 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45"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General and administrative expenses consist primarily of salaries, benefits and stock-based compensation for our personnel in executive, legal, finance and accounting, and other administrative functions. General and administrative expenses also include legal fees relating to intellectual property and corporate matters, professional fees paid for accounting, auditing, tax and consulting services, insurance costs, travel expenses and direct facility costs not otherwise included in research and development expenses.</w:t>
      </w:r>
    </w:p>
    <w:p>
      <w:pPr>
        <w:spacing w:after="0" w:line="16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anticipate that our general and administrative expenses will increase as we increase headcount to provide additional administrative support to our research and development activities. We also anticipate that we will incur significantly increased accounting, audit, legal, regulatory, compliance and director and officer insurance costs, as well as investor and public relations expenses associated with operating as a public company.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Other Income, Net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net, includes interest income earned on cash and cash equivalents and other income and expense items.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2026 and 2025</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165100</wp:posOffset>
            </wp:positionV>
            <wp:extent cx="7139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20,925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11,447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9,478</w:t>
            </w:r>
          </w:p>
        </w:tc>
      </w:tr>
      <w:tr>
        <w:trPr>
          <w:trHeight w:val="219"/>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7,469</w:t>
            </w:r>
          </w:p>
        </w:tc>
      </w:tr>
      <w:tr>
        <w:trPr>
          <w:trHeight w:val="209"/>
        </w:trPr>
        <w:tc>
          <w:tcPr>
            <w:tcW w:w="65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16,947</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(16,947)</w:t>
            </w:r>
          </w:p>
        </w:tc>
      </w:tr>
      <w:tr>
        <w:trPr>
          <w:trHeight w:val="216"/>
        </w:trPr>
        <w:tc>
          <w:tcPr>
            <w:tcW w:w="658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2,115</w:t>
            </w:r>
          </w:p>
        </w:tc>
      </w:tr>
      <w:tr>
        <w:trPr>
          <w:trHeight w:val="218"/>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(27,232)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(12,400)</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(14,832)</w:t>
            </w: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costs for each of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18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CHANGE</w:t>
            </w:r>
          </w:p>
        </w:tc>
      </w:tr>
      <w:tr>
        <w:trPr>
          <w:trHeight w:val="211"/>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VDPHL01</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7,910</w:t>
            </w: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VDMN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(969)</w:t>
            </w:r>
          </w:p>
        </w:tc>
      </w:tr>
      <w:tr>
        <w:trPr>
          <w:trHeight w:val="218"/>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VDMC</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VDAA</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program candidates and expenses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8"/>
        </w:trPr>
        <w:tc>
          <w:tcPr>
            <w:tcW w:w="6680" w:type="dxa"/>
            <w:vAlign w:val="bottom"/>
          </w:tcPr>
          <w:p>
            <w:pPr>
              <w:ind w:left="20"/>
              <w:spacing w:after="0"/>
              <w:rPr>
                <w:sz w:val="20"/>
                <w:szCs w:val="20"/>
                <w:color w:val="auto"/>
              </w:rPr>
            </w:pPr>
            <w:r>
              <w:rPr>
                <w:rFonts w:ascii="Arial" w:cs="Arial" w:eastAsia="Arial" w:hAnsi="Arial"/>
                <w:sz w:val="17"/>
                <w:szCs w:val="17"/>
                <w:i w:val="1"/>
                <w:iCs w:val="1"/>
                <w:color w:val="auto"/>
              </w:rPr>
              <w:t>Other unallocated research and development costs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Personnel expenses (including stock-based compensation)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2,597</w:t>
            </w:r>
          </w:p>
        </w:tc>
      </w:tr>
      <w:tr>
        <w:trPr>
          <w:trHeight w:val="218"/>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expenses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research and development expenses</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$20.9 million for the three months ended March 31, 2026, compared to $11.4 million for the three months ended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31, 2025. The increase of $9.5 million was primarily due to:</w:t>
      </w:r>
    </w:p>
    <w:p>
      <w:pPr>
        <w:spacing w:after="0" w:line="133" w:lineRule="exact"/>
        <w:rPr>
          <w:sz w:val="20"/>
          <w:szCs w:val="20"/>
          <w:color w:val="auto"/>
        </w:rPr>
      </w:pPr>
    </w:p>
    <w:p>
      <w:pPr>
        <w:ind w:left="300" w:right="120" w:hanging="298"/>
        <w:spacing w:after="0" w:line="256" w:lineRule="auto"/>
        <w:tabs>
          <w:tab w:leader="none" w:pos="299" w:val="left"/>
        </w:tabs>
        <w:numPr>
          <w:ilvl w:val="0"/>
          <w:numId w:val="18"/>
        </w:numPr>
        <w:rPr>
          <w:rFonts w:ascii="Wingdings" w:cs="Wingdings" w:eastAsia="Wingdings" w:hAnsi="Wingdings"/>
          <w:sz w:val="12"/>
          <w:szCs w:val="12"/>
          <w:b w:val="1"/>
          <w:bCs w:val="1"/>
          <w:color w:val="auto"/>
        </w:rPr>
      </w:pPr>
      <w:r>
        <w:rPr>
          <w:rFonts w:ascii="Arial" w:cs="Arial" w:eastAsia="Arial" w:hAnsi="Arial"/>
          <w:sz w:val="16"/>
          <w:szCs w:val="16"/>
          <w:color w:val="auto"/>
        </w:rPr>
        <w:t>a $7.9 million increase in costs related to VDPHL01 primarily due to a $2.4 million increase in clinical trial expenses, including investigator fees, pass-through costs, and program management fees which resulted from expanded registration-directed and confirmatory clinical trial activity in the first quarter of 2026 compared to the prior period, as well as a $1.7 million increase in clinical trial recruitment costs. The increase in VDPHL01 costs also include additional medical education activities as compared to the prior year. The remaining increase in VDPHL01 costs is related to chemistry, manufacturing and controls activities, including costs associated with GMP manufacturing and clinical materials to support ongoing and planned clinical studies as compared to the prior year; and;</w:t>
      </w:r>
    </w:p>
    <w:p>
      <w:pPr>
        <w:spacing w:after="0" w:line="3" w:lineRule="exact"/>
        <w:rPr>
          <w:rFonts w:ascii="Wingdings" w:cs="Wingdings" w:eastAsia="Wingdings" w:hAnsi="Wingdings"/>
          <w:sz w:val="12"/>
          <w:szCs w:val="12"/>
          <w:b w:val="1"/>
          <w:bCs w:val="1"/>
          <w:color w:val="auto"/>
        </w:rPr>
      </w:pPr>
    </w:p>
    <w:p>
      <w:pPr>
        <w:jc w:val="both"/>
        <w:ind w:left="300" w:right="160" w:hanging="298"/>
        <w:spacing w:after="0" w:line="268" w:lineRule="auto"/>
        <w:tabs>
          <w:tab w:leader="none" w:pos="299" w:val="left"/>
        </w:tabs>
        <w:numPr>
          <w:ilvl w:val="0"/>
          <w:numId w:val="18"/>
        </w:numPr>
        <w:rPr>
          <w:rFonts w:ascii="Wingdings" w:cs="Wingdings" w:eastAsia="Wingdings" w:hAnsi="Wingdings"/>
          <w:sz w:val="12"/>
          <w:szCs w:val="12"/>
          <w:b w:val="1"/>
          <w:bCs w:val="1"/>
          <w:color w:val="auto"/>
        </w:rPr>
      </w:pPr>
      <w:r>
        <w:rPr>
          <w:rFonts w:ascii="Arial" w:cs="Arial" w:eastAsia="Arial" w:hAnsi="Arial"/>
          <w:sz w:val="16"/>
          <w:szCs w:val="16"/>
          <w:color w:val="auto"/>
        </w:rPr>
        <w:t>a $2.6 million increase in personnel-related costs, including stock-based compensation expense, primarily due to expense recognized on performance stock options in the first quarter of 2026 as well as an increase in research and development related headcount as compared to the same period in the prior year;</w:t>
      </w:r>
    </w:p>
    <w:p>
      <w:pPr>
        <w:spacing w:after="0" w:line="200" w:lineRule="exact"/>
        <w:rPr>
          <w:sz w:val="20"/>
          <w:szCs w:val="20"/>
          <w:color w:val="auto"/>
        </w:rPr>
      </w:pPr>
    </w:p>
    <w:p>
      <w:pPr>
        <w:spacing w:after="0" w:line="33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These increases were partially offset by:</w:t>
      </w:r>
    </w:p>
    <w:p>
      <w:pPr>
        <w:spacing w:after="0" w:line="149" w:lineRule="exact"/>
        <w:rPr>
          <w:sz w:val="20"/>
          <w:szCs w:val="20"/>
          <w:color w:val="auto"/>
        </w:rPr>
      </w:pPr>
    </w:p>
    <w:p>
      <w:pPr>
        <w:ind w:left="300" w:right="100" w:hanging="298"/>
        <w:spacing w:after="0" w:line="270" w:lineRule="auto"/>
        <w:tabs>
          <w:tab w:leader="none" w:pos="299" w:val="left"/>
        </w:tabs>
        <w:numPr>
          <w:ilvl w:val="0"/>
          <w:numId w:val="19"/>
        </w:numPr>
        <w:rPr>
          <w:rFonts w:ascii="Wingdings" w:cs="Wingdings" w:eastAsia="Wingdings" w:hAnsi="Wingdings"/>
          <w:sz w:val="12"/>
          <w:szCs w:val="12"/>
          <w:b w:val="1"/>
          <w:bCs w:val="1"/>
          <w:color w:val="auto"/>
        </w:rPr>
      </w:pPr>
      <w:r>
        <w:rPr>
          <w:rFonts w:ascii="Arial" w:cs="Arial" w:eastAsia="Arial" w:hAnsi="Arial"/>
          <w:sz w:val="16"/>
          <w:szCs w:val="16"/>
          <w:color w:val="auto"/>
        </w:rPr>
        <w:t>a decrease in costs related to VDMN and other program candidates and expenses of $1.0 million and $0.1 million respectively. These decreases were primarily attributable to the Company’s decision to pause activities related to these programs to focus efforts on VDPHL01, which resulted in decreases in chemistry, manufacturing, and control activities as well as clinical trial expenses for VDMN and other program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$8.9 million for the three months ended March 31, 2026, compared to $1.5 million for the three months ended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31, 2025. The increase of $7.5 million was primarily due to:</w:t>
      </w:r>
    </w:p>
    <w:p>
      <w:pPr>
        <w:spacing w:after="0" w:line="210" w:lineRule="exact"/>
        <w:rPr>
          <w:sz w:val="20"/>
          <w:szCs w:val="20"/>
          <w:color w:val="auto"/>
        </w:rPr>
      </w:pPr>
    </w:p>
    <w:p>
      <w:pPr>
        <w:ind w:left="620" w:right="820" w:hanging="310"/>
        <w:spacing w:after="0" w:line="260" w:lineRule="auto"/>
        <w:tabs>
          <w:tab w:leader="none" w:pos="619" w:val="left"/>
        </w:tabs>
        <w:numPr>
          <w:ilvl w:val="0"/>
          <w:numId w:val="20"/>
        </w:numPr>
        <w:rPr>
          <w:rFonts w:ascii="Wingdings" w:cs="Wingdings" w:eastAsia="Wingdings" w:hAnsi="Wingdings"/>
          <w:sz w:val="12"/>
          <w:szCs w:val="12"/>
          <w:b w:val="1"/>
          <w:bCs w:val="1"/>
          <w:color w:val="auto"/>
        </w:rPr>
      </w:pPr>
      <w:r>
        <w:rPr>
          <w:rFonts w:ascii="Arial" w:cs="Arial" w:eastAsia="Arial" w:hAnsi="Arial"/>
          <w:sz w:val="16"/>
          <w:szCs w:val="16"/>
          <w:color w:val="auto"/>
        </w:rPr>
        <w:t>a $3.9 million increase in payroll and personnel-related costs, including stock-based compensation, as a result of expense recognized on performance stock options in the first quarter of 2026 as well as an increase in general and administrative related headcount;</w:t>
      </w:r>
    </w:p>
    <w:p>
      <w:pPr>
        <w:spacing w:after="0" w:line="1" w:lineRule="exact"/>
        <w:rPr>
          <w:rFonts w:ascii="Wingdings" w:cs="Wingdings" w:eastAsia="Wingdings" w:hAnsi="Wingdings"/>
          <w:sz w:val="12"/>
          <w:szCs w:val="12"/>
          <w:b w:val="1"/>
          <w:bCs w:val="1"/>
          <w:color w:val="auto"/>
        </w:rPr>
      </w:pPr>
    </w:p>
    <w:p>
      <w:pPr>
        <w:ind w:left="620" w:hanging="310"/>
        <w:spacing w:after="0"/>
        <w:tabs>
          <w:tab w:leader="none" w:pos="620" w:val="left"/>
        </w:tabs>
        <w:numPr>
          <w:ilvl w:val="0"/>
          <w:numId w:val="20"/>
        </w:numPr>
        <w:rPr>
          <w:rFonts w:ascii="Wingdings" w:cs="Wingdings" w:eastAsia="Wingdings" w:hAnsi="Wingdings"/>
          <w:sz w:val="12"/>
          <w:szCs w:val="12"/>
          <w:b w:val="1"/>
          <w:bCs w:val="1"/>
          <w:color w:val="auto"/>
        </w:rPr>
      </w:pPr>
      <w:r>
        <w:rPr>
          <w:rFonts w:ascii="Arial" w:cs="Arial" w:eastAsia="Arial" w:hAnsi="Arial"/>
          <w:sz w:val="16"/>
          <w:szCs w:val="16"/>
          <w:color w:val="auto"/>
        </w:rPr>
        <w:t>a $2.3 million increase in commercial readiness costs related to VDPHL01; and</w:t>
      </w:r>
    </w:p>
    <w:p>
      <w:pPr>
        <w:spacing w:after="0" w:line="8" w:lineRule="exact"/>
        <w:rPr>
          <w:rFonts w:ascii="Wingdings" w:cs="Wingdings" w:eastAsia="Wingdings" w:hAnsi="Wingdings"/>
          <w:sz w:val="12"/>
          <w:szCs w:val="12"/>
          <w:b w:val="1"/>
          <w:bCs w:val="1"/>
          <w:color w:val="auto"/>
        </w:rPr>
      </w:pPr>
    </w:p>
    <w:p>
      <w:pPr>
        <w:ind w:left="620" w:right="180" w:hanging="310"/>
        <w:spacing w:after="0" w:line="269" w:lineRule="auto"/>
        <w:tabs>
          <w:tab w:leader="none" w:pos="619" w:val="left"/>
        </w:tabs>
        <w:numPr>
          <w:ilvl w:val="0"/>
          <w:numId w:val="20"/>
        </w:numPr>
        <w:rPr>
          <w:rFonts w:ascii="Wingdings" w:cs="Wingdings" w:eastAsia="Wingdings" w:hAnsi="Wingdings"/>
          <w:sz w:val="12"/>
          <w:szCs w:val="12"/>
          <w:b w:val="1"/>
          <w:bCs w:val="1"/>
          <w:color w:val="auto"/>
        </w:rPr>
      </w:pPr>
      <w:r>
        <w:rPr>
          <w:rFonts w:ascii="Arial" w:cs="Arial" w:eastAsia="Arial" w:hAnsi="Arial"/>
          <w:sz w:val="16"/>
          <w:szCs w:val="16"/>
          <w:color w:val="auto"/>
        </w:rPr>
        <w:t>a $0.8 million increase in other professional fees associated with preparations for becoming a public company and operating as a public company subsequent to our IPO.</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Other Income, Net</w:t>
      </w:r>
    </w:p>
    <w:p>
      <w:pPr>
        <w:spacing w:after="0" w:line="3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Total other income, net, was $2.6 million for the three months ended March 31, 2026, compared to $0.5 million for the three months ended March 31, 2025. The increase of $2.1 million is primarily attributable to a $2.0 million increase in interest income on greater average cash and investment balances during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4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Since our inception, we have funded our operations primarily through equity financings. Through March 31, 2026, we had received proceeds of approximately $263.2 million, net of issuance costs of $1.1 million, from the sale of our Series A, Series B and Series C redeemable convertible preferred stock and proceeds of approximately $269.1 million, net of issuance costs of $25.7 million, from our IPO. In May 2026, we completed the Public Offering and the Private Placement, from which we received gross proceeds of $472.0 million. As of March 31, 2026, we had $390.8 million of cash, cash equivalents and marketable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Uses of Liquidity</w:t>
      </w:r>
    </w:p>
    <w:p>
      <w:pPr>
        <w:spacing w:after="0" w:line="4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We currently have no ongoing material financing commitments, such as lines of credit or guarantees, that are expected to affect our liquidity over the next five years, other than our manufacturing, licensing and lease obligations described further below.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4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completed our IPO in the first quarter of 2026, from which we received gross proceeds of $294.8 million. In May 2026, we completed the Public Offering and the Private Placement, from which we received gross proceeds of $472.0 million. The net proceeds from the IPO, the Public Offering and the Private Placement, together with our existing cash, cash equivalents and marketable securities will be sufficient to fund our operating expenses and capital expenditure requirements into 2030, based on our current operating plans. We have based this estimate on assumptions that may prove to be wrong, and we could exhaust our capital resources sooner than we expect.</w:t>
      </w:r>
    </w:p>
    <w:p>
      <w:pPr>
        <w:spacing w:after="0" w:line="166"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We expect to incur significant expenses and operating losses in the foreseeable future as we advance VDPHL01 or any of our other current or any future product candidates through clinical development, seek regulatory approval and pursue commercialization of any approved product candidates.</w:t>
      </w:r>
    </w:p>
    <w:p>
      <w:pPr>
        <w:spacing w:after="0" w:line="144"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Because of the numerous risks and uncertainties, length of time and scope of activities associated with research, development and commercialization of product candidates, we are unable to estimate the exact amount of our working capital requirements. Our future funding requirements, both near and long-term, will depend on, and could increase significantly as a result of, many factors, including, but not limited to:</w:t>
      </w:r>
    </w:p>
    <w:p>
      <w:pPr>
        <w:spacing w:after="0" w:line="91" w:lineRule="exact"/>
        <w:rPr>
          <w:sz w:val="20"/>
          <w:szCs w:val="20"/>
          <w:color w:val="auto"/>
        </w:rPr>
      </w:pPr>
    </w:p>
    <w:p>
      <w:pPr>
        <w:ind w:left="300" w:right="40" w:hanging="298"/>
        <w:spacing w:after="0" w:line="275" w:lineRule="auto"/>
        <w:tabs>
          <w:tab w:leader="none" w:pos="299" w:val="left"/>
        </w:tabs>
        <w:numPr>
          <w:ilvl w:val="0"/>
          <w:numId w:val="21"/>
        </w:numPr>
        <w:rPr>
          <w:rFonts w:ascii="Wingdings" w:cs="Wingdings" w:eastAsia="Wingdings" w:hAnsi="Wingdings"/>
          <w:sz w:val="12"/>
          <w:szCs w:val="12"/>
          <w:b w:val="1"/>
          <w:bCs w:val="1"/>
          <w:color w:val="auto"/>
        </w:rPr>
      </w:pPr>
      <w:r>
        <w:rPr>
          <w:rFonts w:ascii="Arial" w:cs="Arial" w:eastAsia="Arial" w:hAnsi="Arial"/>
          <w:sz w:val="16"/>
          <w:szCs w:val="16"/>
          <w:color w:val="auto"/>
        </w:rPr>
        <w:t>the initiation, progress, timing, costs and results of our clinical trials through all phases of development, including our ongoing clinical trials for VDPHL01 and the development of our other current and any future product candidates;</w:t>
      </w:r>
    </w:p>
    <w:p>
      <w:pPr>
        <w:ind w:left="300" w:hanging="298"/>
        <w:spacing w:after="0"/>
        <w:tabs>
          <w:tab w:leader="none" w:pos="300" w:val="left"/>
        </w:tabs>
        <w:numPr>
          <w:ilvl w:val="0"/>
          <w:numId w:val="21"/>
        </w:numPr>
        <w:rPr>
          <w:rFonts w:ascii="Wingdings" w:cs="Wingdings" w:eastAsia="Wingdings" w:hAnsi="Wingdings"/>
          <w:sz w:val="12"/>
          <w:szCs w:val="12"/>
          <w:b w:val="1"/>
          <w:bCs w:val="1"/>
          <w:color w:val="auto"/>
        </w:rPr>
      </w:pPr>
      <w:r>
        <w:rPr>
          <w:rFonts w:ascii="Arial" w:cs="Arial" w:eastAsia="Arial" w:hAnsi="Arial"/>
          <w:sz w:val="16"/>
          <w:szCs w:val="16"/>
          <w:color w:val="auto"/>
        </w:rPr>
        <w:t>the number and scope of preclinical and clinical programs we decide to pursue;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1"/>
        </w:numPr>
        <w:rPr>
          <w:rFonts w:ascii="Wingdings" w:cs="Wingdings" w:eastAsia="Wingdings" w:hAnsi="Wingdings"/>
          <w:sz w:val="12"/>
          <w:szCs w:val="12"/>
          <w:b w:val="1"/>
          <w:bCs w:val="1"/>
          <w:color w:val="auto"/>
        </w:rPr>
      </w:pPr>
      <w:r>
        <w:rPr>
          <w:rFonts w:ascii="Arial" w:cs="Arial" w:eastAsia="Arial" w:hAnsi="Arial"/>
          <w:sz w:val="16"/>
          <w:szCs w:val="16"/>
          <w:color w:val="auto"/>
        </w:rPr>
        <w:t>the identification, assessment, acquisition and/or development of additional research programs and additional product candidates;</w:t>
      </w: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0" w:name="page31"/>
    <w:bookmarkEnd w:id="30"/>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timing of and successful patient enrollment in, and the initiation and completion of, clinical trials;</w:t>
      </w:r>
    </w:p>
    <w:p>
      <w:pPr>
        <w:spacing w:after="0" w:line="46" w:lineRule="exact"/>
        <w:rPr>
          <w:rFonts w:ascii="Wingdings" w:cs="Wingdings" w:eastAsia="Wingdings" w:hAnsi="Wingdings"/>
          <w:sz w:val="12"/>
          <w:szCs w:val="12"/>
          <w:b w:val="1"/>
          <w:bCs w:val="1"/>
          <w:color w:val="auto"/>
        </w:rPr>
      </w:pPr>
    </w:p>
    <w:p>
      <w:pPr>
        <w:ind w:left="300" w:right="10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outcome, timing and costs of meeting regulatory requirements established by the FDA or any comparable foreign regulatory authority, including any additional clinical trials required by the FDA or any comparable foreign regulatory authority;</w:t>
      </w:r>
    </w:p>
    <w:p>
      <w:pPr>
        <w:ind w:left="300" w:right="20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willingness of the FDA or any comparable foreign regulatory authorities to accept our clinical trial designs, as well as data from our completed and planned preclinical studies and clinical trials, as the basis for review and approval of VDPHL01 and any other product candidates;</w:t>
      </w:r>
    </w:p>
    <w:p>
      <w:pPr>
        <w:ind w:left="300" w:right="58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progress, timing and costs of the development by us or third parties of companion diagnostics, if required, for VDPHL01 or any other product candidates, including design, manufacturing and regulatory approval;</w:t>
      </w: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timing, receipt and terms of any marketing approvals from applicable regulatory authorities;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establish new licensing or collaboration arrangements;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performance of our future collaborators, if any;</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development and timely delivery of commercial-grade drug formulations that can be used in our planned clinical trials and for commercialization;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cost of filing, prosecuting and enforcing our patent claims and other intellectual property rights;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cost of defending potential intellectual property disputes, including patent infringement actions brought by third parties against us;</w:t>
      </w:r>
    </w:p>
    <w:p>
      <w:pPr>
        <w:spacing w:after="0" w:line="46" w:lineRule="exact"/>
        <w:rPr>
          <w:rFonts w:ascii="Wingdings" w:cs="Wingdings" w:eastAsia="Wingdings" w:hAnsi="Wingdings"/>
          <w:sz w:val="12"/>
          <w:szCs w:val="12"/>
          <w:b w:val="1"/>
          <w:bCs w:val="1"/>
          <w:color w:val="auto"/>
        </w:rPr>
      </w:pPr>
    </w:p>
    <w:p>
      <w:pPr>
        <w:ind w:left="300" w:right="28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costs associated with potential clinical trial liability or product liability claims, including the costs associated with obtaining insurance against such claims and with defending against such claims;</w:t>
      </w: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effect of competing technological and market developments;</w:t>
      </w:r>
    </w:p>
    <w:p>
      <w:pPr>
        <w:spacing w:after="0" w:line="46" w:lineRule="exact"/>
        <w:rPr>
          <w:rFonts w:ascii="Wingdings" w:cs="Wingdings" w:eastAsia="Wingdings" w:hAnsi="Wingdings"/>
          <w:sz w:val="12"/>
          <w:szCs w:val="12"/>
          <w:b w:val="1"/>
          <w:bCs w:val="1"/>
          <w:color w:val="auto"/>
        </w:rPr>
      </w:pPr>
    </w:p>
    <w:p>
      <w:pPr>
        <w:ind w:left="300" w:right="76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hire additional personnel and consultants as our business grows, including additional executive officers and clinical development, regulatory, chemistry, manufacturing and controls, quality and commercial personnel;</w:t>
      </w:r>
    </w:p>
    <w:p>
      <w:pPr>
        <w:ind w:left="300" w:right="2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develop and commercialize products that are considered by physicians, patients and payors as medically and/or financially differentiated as compared to competitive products;</w:t>
      </w: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establish arrangements with third-party manufacturers for the commercial supply of products that receive marketing approval, if any;</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cost of making royalty, milestone or other payments under any future in-license agreements;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extent to which we in-license or acquire additional product candidates or technologies;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cost of establishing sales, marketing and distribution capabilities for our product candidates, if approved;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initiation, progress and timing of our commercialization of VDPHL01, if approved, or any other product candidates;</w:t>
      </w:r>
    </w:p>
    <w:p>
      <w:pPr>
        <w:spacing w:after="0" w:line="46" w:lineRule="exact"/>
        <w:rPr>
          <w:rFonts w:ascii="Wingdings" w:cs="Wingdings" w:eastAsia="Wingdings" w:hAnsi="Wingdings"/>
          <w:sz w:val="12"/>
          <w:szCs w:val="12"/>
          <w:b w:val="1"/>
          <w:bCs w:val="1"/>
          <w:color w:val="auto"/>
        </w:rPr>
      </w:pPr>
    </w:p>
    <w:p>
      <w:pPr>
        <w:ind w:left="300" w:right="180" w:hanging="298"/>
        <w:spacing w:after="0" w:line="275" w:lineRule="auto"/>
        <w:tabs>
          <w:tab w:leader="none" w:pos="299"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achieve sufficient market acceptance, coverage and adequate reimbursement from third-party payors, if applicable, and adequate market share and revenue;</w:t>
      </w: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maintaining a continued acceptable safety profile of the product candidates following approval;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2"/>
        </w:numPr>
        <w:rPr>
          <w:rFonts w:ascii="Wingdings" w:cs="Wingdings" w:eastAsia="Wingdings" w:hAnsi="Wingdings"/>
          <w:sz w:val="12"/>
          <w:szCs w:val="12"/>
          <w:b w:val="1"/>
          <w:bCs w:val="1"/>
          <w:color w:val="auto"/>
        </w:rPr>
      </w:pPr>
      <w:r>
        <w:rPr>
          <w:rFonts w:ascii="Arial" w:cs="Arial" w:eastAsia="Arial" w:hAnsi="Arial"/>
          <w:sz w:val="16"/>
          <w:szCs w:val="16"/>
          <w:color w:val="auto"/>
        </w:rPr>
        <w:t>the costs of operating as a public company.</w:t>
      </w:r>
    </w:p>
    <w:p>
      <w:pPr>
        <w:spacing w:after="0" w:line="213"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55" w:lineRule="exact"/>
        <w:rPr>
          <w:sz w:val="20"/>
          <w:szCs w:val="20"/>
          <w:color w:val="auto"/>
        </w:rPr>
      </w:pPr>
    </w:p>
    <w:p>
      <w:pPr>
        <w:jc w:val="both"/>
        <w:ind w:right="620"/>
        <w:spacing w:after="0" w:line="270" w:lineRule="auto"/>
        <w:rPr>
          <w:sz w:val="20"/>
          <w:szCs w:val="20"/>
          <w:color w:val="auto"/>
        </w:rPr>
      </w:pPr>
      <w:r>
        <w:rPr>
          <w:rFonts w:ascii="Arial" w:cs="Arial" w:eastAsia="Arial" w:hAnsi="Arial"/>
          <w:sz w:val="16"/>
          <w:szCs w:val="16"/>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Until such time, if ever, as we generate significant revenue from product sales, we expect to finance our operations through the sale of equity, debt financings, marketing and distribution arrangements and collaborations, strategic alliances and licensing arrangements or other sources. We currently have no credit facility or committed sources of capital.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If we raise additional funds through collaborations, strategic alliances or marketing, distribution or licensing arrangements with third parties, we may be required to relinquish valuable rights to our technologies, intellectual property, future revenue streams or product candidates or grant licenses on terms that may not be favorable to us. If we are unable to raise additional funds when needed, we may be required to delay, limit, reduce or terminate product candidate development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each of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2025</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(13,317)</w:t>
            </w:r>
          </w:p>
        </w:tc>
      </w:tr>
      <w:tr>
        <w:trPr>
          <w:trHeight w:val="218"/>
        </w:trPr>
        <w:tc>
          <w:tcPr>
            <w:tcW w:w="84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(15,750)</w:t>
            </w:r>
          </w:p>
        </w:tc>
      </w:tr>
      <w:tr>
        <w:trPr>
          <w:trHeight w:val="218"/>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269,113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8,423</w:t>
            </w:r>
          </w:p>
        </w:tc>
      </w:tr>
      <w:tr>
        <w:trPr>
          <w:trHeight w:val="210"/>
        </w:trPr>
        <w:tc>
          <w:tcPr>
            <w:tcW w:w="842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146,646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(20,644)</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6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Net cash used in operating activities was $21.2 million for the three months ended March 31, 2026 and primarily consisted of a net loss of $27.2 million adjusted for non-cash items, including stock-based compensation expense of $5.3 million, non-cash research and development services of $0.6 million, and net accretion on discount/premium of debt securities of $0.1 million, as well as the change in our net working capital.</w:t>
      </w:r>
    </w:p>
    <w:p>
      <w:pPr>
        <w:spacing w:after="0" w:line="17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Net cash used in operating activities $13.3 million for the three months ended March 31, 2025, and primarily consisted of a net loss of $12.4 million adjusted for non-cash items, including stock-based compensation expense of $0.2 million and non-cash research and development services of $0.4 million, as well as the change in our net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4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Net cash used in investing activities was $101.3 million for the three months ended March 31, 2026 as compared to $15.8 million for the three months ended March 31, 2025. The increase was primarily driven by the purchase of investment securities partially offset by maturities of short-term investments during the period.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37"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Net cash provided by financing activities was $269.1 million for the three months ended March 31, 2026 as compared to $8.4 million for the three months ended March 31, 2025. The increase was primarily attributable to proceeds of $269.1 million from our initial public offering, compared to proceeds of $8.4 million from the issuance of our Series B financing in the prior year.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February 2025, we entered into an office lease agreement in New Haven, Connecticut for a total of 1,202 square feet. This lease agreement provided the option to move to a larger space within the building during the term of the lease agreement, which we chose to do in April 2026. The new leased space is 6,336 square feet and the revised lease agreement expires in April 2029, with an option to extend the lease for an additional two years after initial expiration. We believe our existing facilities are sufficient for our current needs. To meet the future needs of our business, we expect to lease additional or alternate office space, and we believe suitable additional or alternative space will be available in the future on commercially reasonable terms. Remaining lease payments from March 31, 2026 through the end of the lease term are approximately $0.6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and Other Obligations</w:t>
      </w:r>
    </w:p>
    <w:p>
      <w:pPr>
        <w:spacing w:after="0" w:line="45"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enter contracts in the normal course of business with CROs and other third-party vendors for clinical trials and testing and manufacturing services. Most contracts do not contain minimum purchase commitments and are cancellable by us upon written notice. Payments that may be due upon cancellation consist of payments for services provided or expenses incurred. As of March 31, 2026 and December 31, 2025 there were no amounts accrued related to termination charges.</w:t>
      </w:r>
    </w:p>
    <w:p>
      <w:pPr>
        <w:spacing w:after="0" w:line="200" w:lineRule="exact"/>
        <w:rPr>
          <w:sz w:val="20"/>
          <w:szCs w:val="20"/>
          <w:color w:val="auto"/>
        </w:rPr>
      </w:pPr>
    </w:p>
    <w:p>
      <w:pPr>
        <w:spacing w:after="0" w:line="3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or U.S. GAAP, requires management to make estimates and assumptions that affect the reported amounts of assets and liabilities and disclosure of contingent assets and liabilities at the date of the financial statements and the reported amounts of expenses during the reporting period. Changes in estimates and assumptions are reflected in reported results in the period in which they become known. Actual results could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valuation of prepaid and accrued expenses related to certain research and development contracts, and stock-based compensation expense which includes estimating the fair value of its common stock.</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Estimates related to research and development contract accruals and prepayments are reasonably likely to change in future periods as project scopes, timelines, and vendor billing patterns evolve. Similarly, estimates of stock-based compensation expense are sensitive to changes in assumptions such as the fair value of common stock, expected volatility, and the estimated term of awards. Management will continue to evaluate these estimates each reporting period and adjust them as additional information becomes available.</w:t>
      </w:r>
    </w:p>
    <w:p>
      <w:pPr>
        <w:spacing w:after="0" w:line="16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 xml:space="preserve">While our significant accounting policies are described in more detail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to the consolidated financial statements for the year ended December 31, 2025 included in the Annual Report, we believe that the following accounting policies are those most critical to the judgments and estimates used in the preparation of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4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estimate and expense research and development costs as incurred, which involves determining the expenses for personnel, stock-based compensation, external services, clinical trials, and other contracted activities. This estimation process requires reviewing open contracts, purchase orders, and communicating with personnel and vendors to assess the level of services performed, particularly when an invoice has not been received. We base our estimates on the progress to completion of each contract, using data from vendors and clinical sites. Depending on the timing of payments, we recognize either prepaid or accrued expenses, which are management's estimates based on work performed, milestones achieved, and experience with similar contracts. We monitor these factors and adjust the prepaid or accrual balances if the actual timing or effort differs from our initial estimate, including for non-refundable advance payments. While we expect our estimates to be materially accurate, any difference between the estimated and actual status and timing of services performed could cause research and development expenses to be overstated or understated in a given reporting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4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measure stock-based compensation using the grant date fair value of the awards and recognize the expense on a straight-line basis over the requisite service period, which is typically the vesting period, classifying the expense according to the function to which the services relate. Forfeitures are recognized as they occur. Prior to the completion of our IPO, the fair value was determined by our Board, considering independent third-party valuation reports. These reports primarily used an Option Pricing Method (OPM), which treats common and preferred stock as call options on the company's total equity value and applies a discount for lack of marketability to value the common stock. Key inputs for this valuation, particularly the Black-Scholes model, involved significant estimates: expected volatility was based on historical volatility of publicly-traded peer companies; the expected term was estimated at 10 years (the full grant term) due to a lack of sufficient company history; and the risk-free interest rate was based on the U.S. Treasury yield curve. Because we don't expect to pay dividends, the expected dividend yield is zero. Subsequent to the completion of our IPO, we continue to use the Black-Scholes model to determine the fair value of awards but now utilize our closing market price of our common stock on the date of grant as an input to the model and have adopted the use of the simplified method for expected term, which calculates the term as the midpoint between the vesting term and contractual term of the grant.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33" w:name="page34"/>
    <w:bookmarkEnd w:id="33"/>
    <w:p>
      <w:pPr>
        <w:spacing w:after="0" w:line="258" w:lineRule="auto"/>
        <w:rPr>
          <w:sz w:val="20"/>
          <w:szCs w:val="20"/>
          <w:color w:val="auto"/>
        </w:rPr>
      </w:pPr>
      <w:r>
        <w:rPr>
          <w:rFonts w:ascii="Arial" w:cs="Arial" w:eastAsia="Arial" w:hAnsi="Arial"/>
          <w:sz w:val="16"/>
          <w:szCs w:val="16"/>
          <w:color w:val="auto"/>
        </w:rPr>
        <w:t>We estimate the fair value of awards subject to both a market condition and a performance condition on the grant date using a Monte Carlo simulation model. For awards with vesting subject to the fulfillment of both market and performance conditions, stock-based compensation expense is recognized using the accelerated attribution method beginning when the achievement of the performance condition becomes probable over the applicable service period. The amount of stock-based compensation expense is dependent on our periodic assessment of the probability of the performance condition being satisfied and our estimate, which may vary over time, of the number of shares that will ultimately be issued. If the performance condition is not met, no compensation expense is recognized, and any previously recognized compensation cost is reversed. The Monte Carlo simulation model requires various subjective assumptions that represent management’s best estimates of the fair value of common stock, expected equity volatility, risk-free interest rate, discount period, expected dividend yield, and expected time to achievement of a performance condition. Expected volatility was based on historical volatility of publicly-traded peer companies; the risk-free interest rate was based on the U.S. Treasury yield curve. Because we don't expect to pay dividends, the expected dividend yield is zero. Expected time to achieve performance condition is based on our best estimate of the period of time it will take to achieve the specified performance condition.</w:t>
      </w:r>
    </w:p>
    <w:p>
      <w:pPr>
        <w:spacing w:after="0" w:line="36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These valuations incorporate management's best estimates and significant judgments regarding future operating performance, product development, and the timing of a potential liquidity event; consequently, if different assumptions were used, the resulting expense could be materially different. Following our IPO, the fair value of our common stock will be determined by its quoted market price. Additional information regarding stock-based compensation expense is provided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to the consolidated financial statements for the year ended December 31, 2025 included in the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Valuations</w:t>
      </w:r>
    </w:p>
    <w:p>
      <w:pPr>
        <w:spacing w:after="0" w:line="4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Prior to our IPO there was no public market for our common stock, and therefore, the estimated fair value of our common stock had been determined by our Board after considering valuation reports provided by an independent third-party valuation firm and exercising reasonable judgment and considering numerous objective and subjective factors to determine the best estimate of the fair value of our common stock at each stock option grant date. In accordance with the guidance outlined in the American Institute of Certified Public Accountants’ Accounting and Valuation Guide, Valuation of Privately-Held-Company Equity Securities Issued as Compensation, a third-party valuation firm prepared valuations of our common stock using an OPM. The total equity value can be implied from the OPM, using the preferred stock financing price if transacted around each valuation date.</w:t>
      </w:r>
    </w:p>
    <w:p>
      <w:pPr>
        <w:spacing w:after="0" w:line="170"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Given the absence of a public trading market, our Board, with input from management considered numerous objective and subjective factors to determine the fair value of our common stock. The factors included, but were not limited to:</w:t>
      </w:r>
    </w:p>
    <w:p>
      <w:pPr>
        <w:spacing w:after="0" w:line="80" w:lineRule="exact"/>
        <w:rPr>
          <w:sz w:val="20"/>
          <w:szCs w:val="20"/>
          <w:color w:val="auto"/>
        </w:rPr>
      </w:pPr>
    </w:p>
    <w:p>
      <w:pPr>
        <w:ind w:left="300" w:hanging="298"/>
        <w:spacing w:after="0"/>
        <w:tabs>
          <w:tab w:leader="none" w:pos="300" w:val="left"/>
        </w:tabs>
        <w:numPr>
          <w:ilvl w:val="0"/>
          <w:numId w:val="23"/>
        </w:numPr>
        <w:rPr>
          <w:rFonts w:ascii="Wingdings" w:cs="Wingdings" w:eastAsia="Wingdings" w:hAnsi="Wingdings"/>
          <w:sz w:val="12"/>
          <w:szCs w:val="12"/>
          <w:b w:val="1"/>
          <w:bCs w:val="1"/>
          <w:color w:val="auto"/>
        </w:rPr>
      </w:pPr>
      <w:r>
        <w:rPr>
          <w:rFonts w:ascii="Arial" w:cs="Arial" w:eastAsia="Arial" w:hAnsi="Arial"/>
          <w:sz w:val="16"/>
          <w:szCs w:val="16"/>
          <w:color w:val="auto"/>
        </w:rPr>
        <w:t>the prices at which we sold preferred stock and preferences of the preferred stock relative to our common stock at the time of each grant;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3"/>
        </w:numPr>
        <w:rPr>
          <w:rFonts w:ascii="Wingdings" w:cs="Wingdings" w:eastAsia="Wingdings" w:hAnsi="Wingdings"/>
          <w:sz w:val="12"/>
          <w:szCs w:val="12"/>
          <w:b w:val="1"/>
          <w:bCs w:val="1"/>
          <w:color w:val="auto"/>
        </w:rPr>
      </w:pPr>
      <w:r>
        <w:rPr>
          <w:rFonts w:ascii="Arial" w:cs="Arial" w:eastAsia="Arial" w:hAnsi="Arial"/>
          <w:sz w:val="16"/>
          <w:szCs w:val="16"/>
          <w:color w:val="auto"/>
        </w:rPr>
        <w:t>the progress of our research and development efforts, including the status of clinical development for our product candidates;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3"/>
        </w:numPr>
        <w:rPr>
          <w:rFonts w:ascii="Wingdings" w:cs="Wingdings" w:eastAsia="Wingdings" w:hAnsi="Wingdings"/>
          <w:sz w:val="12"/>
          <w:szCs w:val="12"/>
          <w:b w:val="1"/>
          <w:bCs w:val="1"/>
          <w:color w:val="auto"/>
        </w:rPr>
      </w:pPr>
      <w:r>
        <w:rPr>
          <w:rFonts w:ascii="Arial" w:cs="Arial" w:eastAsia="Arial" w:hAnsi="Arial"/>
          <w:sz w:val="16"/>
          <w:szCs w:val="16"/>
          <w:color w:val="auto"/>
        </w:rPr>
        <w:t>the lack of liquidity of our equity as a private company;</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3"/>
        </w:numPr>
        <w:rPr>
          <w:rFonts w:ascii="Wingdings" w:cs="Wingdings" w:eastAsia="Wingdings" w:hAnsi="Wingdings"/>
          <w:sz w:val="12"/>
          <w:szCs w:val="12"/>
          <w:b w:val="1"/>
          <w:bCs w:val="1"/>
          <w:color w:val="auto"/>
        </w:rPr>
      </w:pPr>
      <w:r>
        <w:rPr>
          <w:rFonts w:ascii="Arial" w:cs="Arial" w:eastAsia="Arial" w:hAnsi="Arial"/>
          <w:sz w:val="16"/>
          <w:szCs w:val="16"/>
          <w:color w:val="auto"/>
        </w:rPr>
        <w:t>our stage of development and business strategy and the material risks related to our business and industry;</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3"/>
        </w:numPr>
        <w:rPr>
          <w:rFonts w:ascii="Wingdings" w:cs="Wingdings" w:eastAsia="Wingdings" w:hAnsi="Wingdings"/>
          <w:sz w:val="12"/>
          <w:szCs w:val="12"/>
          <w:b w:val="1"/>
          <w:bCs w:val="1"/>
          <w:color w:val="auto"/>
        </w:rPr>
      </w:pPr>
      <w:r>
        <w:rPr>
          <w:rFonts w:ascii="Arial" w:cs="Arial" w:eastAsia="Arial" w:hAnsi="Arial"/>
          <w:sz w:val="16"/>
          <w:szCs w:val="16"/>
          <w:color w:val="auto"/>
        </w:rPr>
        <w:t>the achievement of enterprise milestones; and</w:t>
      </w:r>
    </w:p>
    <w:p>
      <w:pPr>
        <w:spacing w:after="0" w:line="46" w:lineRule="exact"/>
        <w:rPr>
          <w:rFonts w:ascii="Wingdings" w:cs="Wingdings" w:eastAsia="Wingdings" w:hAnsi="Wingdings"/>
          <w:sz w:val="12"/>
          <w:szCs w:val="12"/>
          <w:b w:val="1"/>
          <w:bCs w:val="1"/>
          <w:color w:val="auto"/>
        </w:rPr>
      </w:pPr>
    </w:p>
    <w:p>
      <w:pPr>
        <w:ind w:left="300" w:right="420" w:hanging="298"/>
        <w:spacing w:after="0" w:line="290" w:lineRule="auto"/>
        <w:tabs>
          <w:tab w:leader="none" w:pos="299" w:val="left"/>
        </w:tabs>
        <w:numPr>
          <w:ilvl w:val="0"/>
          <w:numId w:val="23"/>
        </w:numPr>
        <w:rPr>
          <w:rFonts w:ascii="Wingdings" w:cs="Wingdings" w:eastAsia="Wingdings" w:hAnsi="Wingdings"/>
          <w:sz w:val="12"/>
          <w:szCs w:val="12"/>
          <w:b w:val="1"/>
          <w:bCs w:val="1"/>
          <w:color w:val="auto"/>
        </w:rPr>
      </w:pPr>
      <w:r>
        <w:rPr>
          <w:rFonts w:ascii="Arial" w:cs="Arial" w:eastAsia="Arial" w:hAnsi="Arial"/>
          <w:sz w:val="16"/>
          <w:szCs w:val="16"/>
          <w:color w:val="auto"/>
        </w:rPr>
        <w:t>the likelihood of achieving a liquidity event for the holders of our preferred stock and holders of our common stock, such as an IPO, or a sale of our company, given prevailing market conditions.</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6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 public trading market for our common stock was established in connection with our IPO in the first quarter of 2026; therefore, it will no longer be necessary for our Board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Implications of Being an Emerging Growth Company and Smaller Reporting Company</w:t>
      </w:r>
    </w:p>
    <w:p>
      <w:pPr>
        <w:spacing w:after="0" w:line="68"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may remain classified as an emerging growth company until December 31, 2031, although if the market value of our common stock that is held by non-affiliates exceeds $700.0 million as of any June 30 before that time or if we have annual gross revenues of $1.235 billion or more in any fiscal year, we will cease to be an emerging growth company as of December 31 of the applicable year. We also will cease to be an emerging growth company if we issue more than $1.0 billion of non-convertible debt over a three-year period. We intend to rely on certain of the other exemptions and reduced reporting requirements provided by the JOBS Act.</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following our IPO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8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to our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 About Market Risk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and accounting officer, respectively),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35" w:name="page36"/>
    <w:bookmarkEnd w:id="35"/>
    <w:p>
      <w:pPr>
        <w:spacing w:after="0" w:line="269"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1091" w:right="4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7"/>
          <w:szCs w:val="17"/>
          <w:b w:val="1"/>
          <w:bCs w:val="1"/>
          <w:color w:val="auto"/>
        </w:rPr>
        <w:t>PART II - OTHER INFORMATION</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6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From time to time, we may become involved in litigation or other legal proceedings. We are not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 and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6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Investors should carefully consider the risks described below, together with the other information contained in this Quarterly Report on Form 10-Q, including in the section titled “Management’s Discussion and Analysis of Financial Condition and Results of Operations” and in our condensed consolidated financial statements and related notes. The events discussed below may occur and adversely impact our business, financial condition, results of operations and prospects, which may cause the trading price of our common stock to decline, resulting in you losing all or part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Capital</w:t>
      </w:r>
    </w:p>
    <w:p>
      <w:pPr>
        <w:spacing w:after="0" w:line="109"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b w:val="1"/>
          <w:bCs w:val="1"/>
          <w:i w:val="1"/>
          <w:iCs w:val="1"/>
          <w:color w:val="auto"/>
        </w:rPr>
        <w:t>We are a clinical-stage biopharmaceutical company with a limited operating history and no products approved for commercial sale. We have incurred substantial losses since our inception, and we anticipate incurring substantial and increasing losses for the foreseeable future.</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a clinical-stage biopharmaceutical company with a limited operating history on which to base your investment decision. We were formed in 2019 and our operations to date have been limited to organizing, staffing, and financing our company, conducting research and development activities, conducting clinical trials for our product candidates and establishing our intellectual property portfolio. We have never obtained regulatory approval for, or commercialized, a pharmaceutical product. We currently generate no revenue from sales of any products, and we may never be able to develop or commercialize a marketable product. We have financed our operations with $1,029.8 million in gross proceeds from equity financings to date, including $294.8 million of gross proceeds from our IPO and $472.0 million from the Public Offering and the Private Placement.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incurred, and will continue to incur, significant expenses related to the clinical development of VDPHL01 and our other current and any future product candidates and ongoing operations. Our net losses for the three months ended March 31, 2026 and 2025 were $27.2 million and $12.4 million, respectively. As of March 31, 2026, we had an accumulated deficit of $150.7 million. Substantially all of our operating losses have resulted from expenses incurred in connection with development of VDPHL01 and our other product candidates and from general and administrative costs associated with our operations. We expect to incur significant losses for the foreseeable future, and we expect these losses to increase as we advance VDPHL01 in our ongoing Phase 3 trials and, if results are positive, prepare for the commercialization of VDPHL01, if approved.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anticipate that our expenses will increase substantially if, and as, we:</w:t>
      </w:r>
    </w:p>
    <w:p>
      <w:pPr>
        <w:spacing w:after="0" w:line="149" w:lineRule="exact"/>
        <w:rPr>
          <w:sz w:val="20"/>
          <w:szCs w:val="20"/>
          <w:color w:val="auto"/>
        </w:rPr>
      </w:pPr>
    </w:p>
    <w:p>
      <w:pPr>
        <w:ind w:left="300" w:hanging="298"/>
        <w:spacing w:after="0"/>
        <w:tabs>
          <w:tab w:leader="none" w:pos="300"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continue development of VDPHL01 and our other current product candidates, including preclinical development and conducting clinical trials;</w:t>
      </w:r>
    </w:p>
    <w:p>
      <w:pPr>
        <w:spacing w:after="0" w:line="46" w:lineRule="exact"/>
        <w:rPr>
          <w:rFonts w:ascii="Wingdings" w:cs="Wingdings" w:eastAsia="Wingdings" w:hAnsi="Wingdings"/>
          <w:sz w:val="12"/>
          <w:szCs w:val="12"/>
          <w:b w:val="1"/>
          <w:bCs w:val="1"/>
          <w:color w:val="auto"/>
        </w:rPr>
      </w:pPr>
    </w:p>
    <w:p>
      <w:pPr>
        <w:ind w:left="300" w:right="160" w:hanging="298"/>
        <w:spacing w:after="0" w:line="275" w:lineRule="auto"/>
        <w:tabs>
          <w:tab w:leader="none" w:pos="299"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seek marketing regulatory approvals for VDPHL01 and for any of our other current or any future product candidates that successfully complete clinical trials;</w:t>
      </w:r>
    </w:p>
    <w:p>
      <w:pPr>
        <w:ind w:left="300" w:hanging="298"/>
        <w:spacing w:after="0"/>
        <w:tabs>
          <w:tab w:leader="none" w:pos="300"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take steps toward supporting commercial activities, including establishing sales, marketing and distribution infrastructure;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increase marketing in connection with the potential commercialization of VDPHL01, if approved;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advance additional product candidates through preclinical development and clinical trials;</w:t>
      </w:r>
    </w:p>
    <w:p>
      <w:pPr>
        <w:spacing w:after="0" w:line="46" w:lineRule="exact"/>
        <w:rPr>
          <w:rFonts w:ascii="Wingdings" w:cs="Wingdings" w:eastAsia="Wingdings" w:hAnsi="Wingdings"/>
          <w:sz w:val="12"/>
          <w:szCs w:val="12"/>
          <w:b w:val="1"/>
          <w:bCs w:val="1"/>
          <w:color w:val="auto"/>
        </w:rPr>
      </w:pPr>
    </w:p>
    <w:p>
      <w:pPr>
        <w:ind w:left="300" w:right="360" w:hanging="298"/>
        <w:spacing w:after="0" w:line="275" w:lineRule="auto"/>
        <w:tabs>
          <w:tab w:leader="none" w:pos="299"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identify additional product candidates and acquire rights from third parties to those product candidates through licenses or acquisitions and conduct development activities, including preclinical studies and clinical trials;</w:t>
      </w:r>
    </w:p>
    <w:p>
      <w:pPr>
        <w:ind w:left="300" w:hanging="298"/>
        <w:spacing w:after="0"/>
        <w:tabs>
          <w:tab w:leader="none" w:pos="300"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make royalty, milestone or other payments under any current or future license or collaboration agreements;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4"/>
        </w:numPr>
        <w:rPr>
          <w:rFonts w:ascii="Wingdings" w:cs="Wingdings" w:eastAsia="Wingdings" w:hAnsi="Wingdings"/>
          <w:sz w:val="12"/>
          <w:szCs w:val="12"/>
          <w:b w:val="1"/>
          <w:bCs w:val="1"/>
          <w:color w:val="auto"/>
        </w:rPr>
      </w:pPr>
      <w:r>
        <w:rPr>
          <w:rFonts w:ascii="Arial" w:cs="Arial" w:eastAsia="Arial" w:hAnsi="Arial"/>
          <w:sz w:val="16"/>
          <w:szCs w:val="16"/>
          <w:color w:val="auto"/>
        </w:rPr>
        <w:t>procure the manufacturing of preclinical, clinical and commercial supply of our current or any future product candidates;</w:t>
      </w:r>
    </w:p>
    <w:p>
      <w:pPr>
        <w:spacing w:after="0" w:line="200" w:lineRule="exact"/>
        <w:rPr>
          <w:sz w:val="20"/>
          <w:szCs w:val="20"/>
          <w:color w:val="auto"/>
        </w:rPr>
      </w:pPr>
    </w:p>
    <w:p>
      <w:pPr>
        <w:spacing w:after="0" w:line="28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37" w:name="page38"/>
    <w:bookmarkEnd w:id="37"/>
    <w:p>
      <w:pPr>
        <w:ind w:left="300" w:hanging="298"/>
        <w:spacing w:after="0"/>
        <w:tabs>
          <w:tab w:leader="none" w:pos="300"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establish agreements with contract research organizations, or CROs, and contract manufacturing organizations, or CMOs;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attract, hire and retain additional qualified clinical, scientific, operations and management personnel;</w:t>
      </w:r>
    </w:p>
    <w:p>
      <w:pPr>
        <w:spacing w:after="0" w:line="46" w:lineRule="exact"/>
        <w:rPr>
          <w:rFonts w:ascii="Wingdings" w:cs="Wingdings" w:eastAsia="Wingdings" w:hAnsi="Wingdings"/>
          <w:sz w:val="12"/>
          <w:szCs w:val="12"/>
          <w:b w:val="1"/>
          <w:bCs w:val="1"/>
          <w:color w:val="auto"/>
        </w:rPr>
      </w:pPr>
    </w:p>
    <w:p>
      <w:pPr>
        <w:ind w:left="300" w:right="340" w:hanging="298"/>
        <w:spacing w:after="0" w:line="275" w:lineRule="auto"/>
        <w:tabs>
          <w:tab w:leader="none" w:pos="299"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seek to continue to develop, maintain and defend our intellectual property portfolio, including against third-party interference, infringement and other intellectual property claims, if any;</w:t>
      </w:r>
    </w:p>
    <w:p>
      <w:pPr>
        <w:ind w:left="300" w:hanging="298"/>
        <w:spacing w:after="0"/>
        <w:tabs>
          <w:tab w:leader="none" w:pos="300"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add and maintain operational, financial and information management systems;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attempt to address any competing therapies and market developments;</w:t>
      </w:r>
    </w:p>
    <w:p>
      <w:pPr>
        <w:spacing w:after="0" w:line="33" w:lineRule="exact"/>
        <w:rPr>
          <w:rFonts w:ascii="Wingdings" w:cs="Wingdings" w:eastAsia="Wingdings" w:hAnsi="Wingdings"/>
          <w:sz w:val="12"/>
          <w:szCs w:val="12"/>
          <w:b w:val="1"/>
          <w:bCs w:val="1"/>
          <w:color w:val="auto"/>
        </w:rPr>
      </w:pPr>
    </w:p>
    <w:p>
      <w:pPr>
        <w:ind w:left="300" w:hanging="298"/>
        <w:spacing w:after="0" w:line="275" w:lineRule="auto"/>
        <w:tabs>
          <w:tab w:leader="none" w:pos="299"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experience delays in our preclinical studies, clinical trials or regulatory approval for our current or any future product candidates, including with respect to failed studies, inconclusive results, safety issues or other regulatory challenges; and</w:t>
      </w:r>
    </w:p>
    <w:p>
      <w:pPr>
        <w:ind w:left="300" w:right="340" w:hanging="298"/>
        <w:spacing w:after="0" w:line="307" w:lineRule="auto"/>
        <w:tabs>
          <w:tab w:leader="none" w:pos="299" w:val="left"/>
        </w:tabs>
        <w:numPr>
          <w:ilvl w:val="0"/>
          <w:numId w:val="25"/>
        </w:numPr>
        <w:rPr>
          <w:rFonts w:ascii="Wingdings" w:cs="Wingdings" w:eastAsia="Wingdings" w:hAnsi="Wingdings"/>
          <w:sz w:val="12"/>
          <w:szCs w:val="12"/>
          <w:b w:val="1"/>
          <w:bCs w:val="1"/>
          <w:color w:val="auto"/>
        </w:rPr>
      </w:pPr>
      <w:r>
        <w:rPr>
          <w:rFonts w:ascii="Arial" w:cs="Arial" w:eastAsia="Arial" w:hAnsi="Arial"/>
          <w:sz w:val="16"/>
          <w:szCs w:val="16"/>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may never succeed in these activities and, even if we do, may never generate any revenue or revenue that is significant enough to achieve profitability. Even if we succeed in commercializing VDPHL01 or one or more of our other product candidates, we will incur substantial expenditures to develop and market additional product candidates. We also may encounter unforeseen expenses, difficulties, complications, delays and other events that adversely affect our business.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72"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failure to obtain additional capital when needed, or on acceptable terms, would cause us to delay, limit, reduce or terminate our product development or commercialization efforts.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development of biopharmaceutical product candidates, including conducting preclinical studies and clinical trials, is a time-consuming, capital-intensive and uncertain process. We expect our expenses to substantially increase in connection with our ongoing and future activities, specifically as we advance development of VDPHL01 in our ongoing Phase 3 trials and prepare for potential commercialization of VDPHL01, if approved. In addition, because the outcome of any clinical trial or preclinical study is uncertain, we cannot reliably estimate the actual amount of capital necessary to successfully complete the development and commercialization of our other product candidates, and if we obtain regulatory approval for our other current or any future product candidates we also expect to incur significant commercialization expenses of such products. Furthermore, we expect to incur additional costs associated with operating as a public company including significant legal, accounting, investor relations, and other expenses that we did not incur as a private company prior to our IPO.</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completed our IPO for gross proceeds of $294.8 million in the first quarter of 2026. As of March 31, 2026, we had $390.8 million in cash, cash equivalents and marketable securities. Subsequent to March 31, 2026, we completed the Follow-On Public Offering and the Private Placement, from which we received gross proceeds of $472.0 million, before deducting underwriting fees and discounts, and placement agent fees and other expenses. We expect our existing cash, cash equivalents and marketable securities will be sufficient to fund our operating expenses and capital expenditure requirements into 2030, based on our current operating plans. We have based this estimate on assumptions that may prove to be wrong, and we could exhaust our capital resources sooner than we expect. We expect to attempt to raise additional cash in advance of exhausting our available capital resources.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8" w:name="page39"/>
    <w:bookmarkEnd w:id="38"/>
    <w:p>
      <w:pPr>
        <w:spacing w:after="0" w:line="260" w:lineRule="auto"/>
        <w:rPr>
          <w:sz w:val="20"/>
          <w:szCs w:val="20"/>
          <w:color w:val="auto"/>
        </w:rPr>
      </w:pPr>
      <w:r>
        <w:rPr>
          <w:rFonts w:ascii="Arial" w:cs="Arial" w:eastAsia="Arial" w:hAnsi="Arial"/>
          <w:sz w:val="16"/>
          <w:szCs w:val="16"/>
          <w:color w:val="auto"/>
        </w:rPr>
        <w:t>We will not generate revenue from product sales unless and until we successfully complete clinical development and obtain regulatory approval for a product candidate, and we may never generate significant revenue or profits. If we obtain regulatory approval for VDPHL01 or any of our other current or any future product candidates, and do not enter into a third-party commercialization partnership, we expect to incur significant expenses related to developing our commercialization capability to support product sales, marketing, manufacturing and distribution activities. We also may require additional capital to pursue in-licenses or acquisitions of other product candidates. In addition, we expect to incur additional costs associated with operating as a public company, including significant legal, accounting, investor relations, and other expenses that we did not incur as a private company prior to our IPO. As a result, we expect to incur substantial operating losses and negative operating cash flows for the foreseeable future.</w:t>
      </w:r>
    </w:p>
    <w:p>
      <w:pPr>
        <w:spacing w:after="0" w:line="16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Because of the numerous risks and uncertainties, length of time and scope of activities associated with research, development and commercialization of product candidates, we are unable to estimate the exact amount of our working capital requirements. Our future funding requirements, both near and long-term, will depend on, and could increase significantly as a result of, many factors, including, but not limited to:</w:t>
      </w:r>
    </w:p>
    <w:p>
      <w:pPr>
        <w:spacing w:after="0" w:line="91" w:lineRule="exact"/>
        <w:rPr>
          <w:sz w:val="20"/>
          <w:szCs w:val="20"/>
          <w:color w:val="auto"/>
        </w:rPr>
      </w:pPr>
    </w:p>
    <w:p>
      <w:pPr>
        <w:ind w:left="300" w:right="4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initiation, progress, timing, costs and results of our clinical trials through all phases of development, including our ongoing clinical trials for VDPHL01 and the development of our other current and any future product candidates;</w:t>
      </w: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number and scope of preclinical and clinical programs we decide to pursue;</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identification, assessment, acquisition and/or development of additional research programs and additional product candidates;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timing of and successful patient enrollment in, and the initiation and completion of, clinical trials;</w:t>
      </w:r>
    </w:p>
    <w:p>
      <w:pPr>
        <w:spacing w:after="0" w:line="46" w:lineRule="exact"/>
        <w:rPr>
          <w:rFonts w:ascii="Wingdings" w:cs="Wingdings" w:eastAsia="Wingdings" w:hAnsi="Wingdings"/>
          <w:sz w:val="12"/>
          <w:szCs w:val="12"/>
          <w:b w:val="1"/>
          <w:bCs w:val="1"/>
          <w:color w:val="auto"/>
        </w:rPr>
      </w:pPr>
    </w:p>
    <w:p>
      <w:pPr>
        <w:ind w:left="300" w:right="10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outcome, timing and costs of meeting regulatory requirements established by the FDA or any comparable foreign regulatory authority, including any additional clinical trials required by the FDA or any comparable foreign regulatory authority;</w:t>
      </w:r>
    </w:p>
    <w:p>
      <w:pPr>
        <w:ind w:left="300" w:right="20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willingness of the FDA or any comparable foreign regulatory authorities to accept our clinical trial designs, as well as data from our completed and planned preclinical studies and clinical trials, as the basis for review and approval of VDPHL01 and any other product candidates;</w:t>
      </w:r>
    </w:p>
    <w:p>
      <w:pPr>
        <w:ind w:left="300" w:right="58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progress, timing and costs of the development by us or third parties of companion diagnostics, if required, for VDPHL01 or any other product candidates, including design, manufacturing and regulatory approval;</w:t>
      </w: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timing, receipt and terms of any marketing approvals from applicable regulatory authorities;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establish new licensing or collaboration arrangements;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performance of our future collaborators, if any;</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development and timely delivery of commercial-grade drug formulations that can be used in our planned clinical trials and for commercialization;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cost of filing, prosecuting and enforcing our patent claims and other intellectual property rights;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cost of defending potential intellectual property disputes, including patent infringement actions brought by third parties against us;</w:t>
      </w:r>
    </w:p>
    <w:p>
      <w:pPr>
        <w:spacing w:after="0" w:line="46" w:lineRule="exact"/>
        <w:rPr>
          <w:rFonts w:ascii="Wingdings" w:cs="Wingdings" w:eastAsia="Wingdings" w:hAnsi="Wingdings"/>
          <w:sz w:val="12"/>
          <w:szCs w:val="12"/>
          <w:b w:val="1"/>
          <w:bCs w:val="1"/>
          <w:color w:val="auto"/>
        </w:rPr>
      </w:pPr>
    </w:p>
    <w:p>
      <w:pPr>
        <w:ind w:left="300" w:right="28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costs associated with potential clinical trial liability or product liability claims, including the costs associated with obtaining insurance against such claims and with defending against such claims;</w:t>
      </w: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effect of competing technological and market developments;</w:t>
      </w:r>
    </w:p>
    <w:p>
      <w:pPr>
        <w:spacing w:after="0" w:line="46" w:lineRule="exact"/>
        <w:rPr>
          <w:rFonts w:ascii="Wingdings" w:cs="Wingdings" w:eastAsia="Wingdings" w:hAnsi="Wingdings"/>
          <w:sz w:val="12"/>
          <w:szCs w:val="12"/>
          <w:b w:val="1"/>
          <w:bCs w:val="1"/>
          <w:color w:val="auto"/>
        </w:rPr>
      </w:pPr>
    </w:p>
    <w:p>
      <w:pPr>
        <w:ind w:left="300" w:right="76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hire additional personnel and consultants as our business grows, including additional executive officers and clinical development, regulatory, chemistry, manufacturing and controls, quality and commercial personnel;</w:t>
      </w:r>
    </w:p>
    <w:p>
      <w:pPr>
        <w:ind w:left="300" w:right="2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develop and commercialize products that are considered by physicians, patients and payors as medically and/or financially differentiated as compared to competitive products;</w:t>
      </w: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establish arrangements with third-party manufacturers for the commercial supply of products that receive marketing approval, if any;</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cost of making royalty, milestone or other payments under any future in-license agreements;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extent to which we in-license or acquire additional product candidates or technologies;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cost of establishing sales, marketing and distribution capabilities for our product candidates, if approved;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initiation, progress and timing of our commercialization of VDPHL01, if approved, or any other product candidates;</w:t>
      </w:r>
    </w:p>
    <w:p>
      <w:pPr>
        <w:spacing w:after="0" w:line="33" w:lineRule="exact"/>
        <w:rPr>
          <w:rFonts w:ascii="Wingdings" w:cs="Wingdings" w:eastAsia="Wingdings" w:hAnsi="Wingdings"/>
          <w:sz w:val="12"/>
          <w:szCs w:val="12"/>
          <w:b w:val="1"/>
          <w:bCs w:val="1"/>
          <w:color w:val="auto"/>
        </w:rPr>
      </w:pPr>
    </w:p>
    <w:p>
      <w:pPr>
        <w:ind w:left="300" w:right="180" w:hanging="298"/>
        <w:spacing w:after="0" w:line="275" w:lineRule="auto"/>
        <w:tabs>
          <w:tab w:leader="none" w:pos="299"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achieve sufficient market acceptance, coverage and adequate reimbursement from third-party payors, if applicable, and adequate market share and revenue;</w:t>
      </w: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maintaining a continued acceptable safety profile of the product candidates following approval;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6"/>
        </w:numPr>
        <w:rPr>
          <w:rFonts w:ascii="Wingdings" w:cs="Wingdings" w:eastAsia="Wingdings" w:hAnsi="Wingdings"/>
          <w:sz w:val="12"/>
          <w:szCs w:val="12"/>
          <w:b w:val="1"/>
          <w:bCs w:val="1"/>
          <w:color w:val="auto"/>
        </w:rPr>
      </w:pPr>
      <w:r>
        <w:rPr>
          <w:rFonts w:ascii="Arial" w:cs="Arial" w:eastAsia="Arial" w:hAnsi="Arial"/>
          <w:sz w:val="16"/>
          <w:szCs w:val="16"/>
          <w:color w:val="auto"/>
        </w:rPr>
        <w:t>the costs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9" w:name="page40"/>
    <w:bookmarkEnd w:id="39"/>
    <w:p>
      <w:pPr>
        <w:ind w:right="100"/>
        <w:spacing w:after="0" w:line="260" w:lineRule="auto"/>
        <w:rPr>
          <w:sz w:val="20"/>
          <w:szCs w:val="20"/>
          <w:color w:val="auto"/>
        </w:rPr>
      </w:pPr>
      <w:r>
        <w:rPr>
          <w:rFonts w:ascii="Arial" w:cs="Arial" w:eastAsia="Arial" w:hAnsi="Arial"/>
          <w:sz w:val="16"/>
          <w:szCs w:val="16"/>
          <w:color w:val="auto"/>
        </w:rPr>
        <w:t>We expect that our commercial revenue, if any, will initially be derived from sales of VDPHL01, which we do not expect to be commercially available in the near-term, if ever. Accordingly, we will need to rely on additional financing to achieve our business objectives until such time as we can generate sufficient commercial revenue. Adequate additional financing may not be available to us on acceptable terms, or at all, including as a result of financial and credit market deterioration or instability, including as a result of tariffs, fluctuations in inflation rates and concerns of a recession in the United States or other major markets, market-wide liquidity shortages, geopolitical events or otherwise. Weakness and volatility in the capital markets and the economy in general could also increase our costs of borrowing. If we are unable to raise sufficient additional capital, we would be forced to curtail our planned operations and the pursuit of our growth strategy.</w:t>
      </w:r>
    </w:p>
    <w:p>
      <w:pPr>
        <w:spacing w:after="0" w:line="169" w:lineRule="exact"/>
        <w:rPr>
          <w:sz w:val="20"/>
          <w:szCs w:val="20"/>
          <w:color w:val="auto"/>
        </w:rPr>
      </w:pPr>
    </w:p>
    <w:p>
      <w:pPr>
        <w:ind w:right="340"/>
        <w:spacing w:after="0" w:line="315"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which may impose restrictions on our operations or require us to relinquish rights to our product candidates.</w:t>
      </w:r>
    </w:p>
    <w:p>
      <w:pPr>
        <w:spacing w:after="0" w:line="6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of Our Product Candidates</w:t>
      </w:r>
    </w:p>
    <w:p>
      <w:pPr>
        <w:spacing w:after="0" w:line="109"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We currently anticipate that our success will substantially depend on the approval and successful commercialization of VDPHL01, which is our lead product candidate. If we are unable to obtain regulatory approval for, and successfully commercialize, VDPHL01, or any of our other current or future product candidates, or experience significant delays in doing so, our business will be materially harmed.</w:t>
      </w:r>
    </w:p>
    <w:p>
      <w:pPr>
        <w:spacing w:after="0" w:line="9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have never obtained regulatory approval for, or commercialized, a pharmaceutical product. With respect to VDPHL01 in PHL, we may pursue a marketing application to initially seek approval in male patients followed by an sNDA for female patients, or could alternatively pursue approval in both male and female patients simultaneously. The FDA may require us to conduct additional trials to support approval if it does not think our existing data are sufficient to support approval. We have invested a significant portion of our efforts and financial resources in the development of our most advanced product candidate, VDPHL01, for the treatment of PHL in male patients and female patients. Our business substantially depends on the successful development and commercialization of our product candidates, and in particular, VDPHL01, which may never occur. We currently generate no revenue from sales of any products, and we may never be able to develop or commercialize a marketable product. We do not expect to generate significant revenue, if any, unless and until we are able to obtain regulatory approval for, and successfully commercialize, VDPHL01, or for any of our other current or future product candidates. Successful commercialization of a product candidate requires achievement of many key milestones, including obtaining regulatory approval. Even if we do achieve profitability, we may not be able to sustain or increase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0" w:name="page41"/>
    <w:bookmarkEnd w:id="40"/>
    <w:p>
      <w:pPr>
        <w:ind w:right="40"/>
        <w:spacing w:after="0" w:line="260" w:lineRule="auto"/>
        <w:rPr>
          <w:sz w:val="20"/>
          <w:szCs w:val="20"/>
          <w:color w:val="auto"/>
        </w:rPr>
      </w:pPr>
      <w:r>
        <w:rPr>
          <w:rFonts w:ascii="Arial" w:cs="Arial" w:eastAsia="Arial" w:hAnsi="Arial"/>
          <w:sz w:val="16"/>
          <w:szCs w:val="16"/>
          <w:color w:val="auto"/>
        </w:rPr>
        <w:t>We are not permitted to market or promote any of our product candidates, including VDPHL01, before we receive regulatory approval from the FDA or comparable foreign regulatory authorities, and we may never receive such regulatory approval for any of our product candidates. Even if VDPHL01 or any of our other current or future product candidates is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VDPHL01 or any other of our current or future product candidates will be successful in clinical trials or receive regulatory approval. Our product candidates are susceptible to the risks of failure inherent at any stage of product development, including the appearance of unexpected AEs or failure to achieve its primary endpoints in subsequent clinical trials. Further, our product candidates may not receive regulatory approval even if they are successful in clinical trials.</w:t>
      </w:r>
    </w:p>
    <w:p>
      <w:pPr>
        <w:spacing w:after="0" w:line="166"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color w:val="auto"/>
        </w:rPr>
        <w:t>The future regulatory and commercial success of VDPHL01 and any of our other current or future product candidates is subject to a number of risks, including the following:</w:t>
      </w:r>
    </w:p>
    <w:p>
      <w:pPr>
        <w:spacing w:after="0" w:line="80" w:lineRule="exact"/>
        <w:rPr>
          <w:sz w:val="20"/>
          <w:szCs w:val="20"/>
          <w:color w:val="auto"/>
        </w:rPr>
      </w:pPr>
    </w:p>
    <w:p>
      <w:pPr>
        <w:ind w:left="300" w:right="30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effective Investigational New Drug, or IND, applications from the FDA that allow commencement of our planned or future clinical trials for our product candidates;</w:t>
      </w: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timely and successful completion of preclinical studies and clinical trials;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successful patient enrollment in clinical trials;</w:t>
      </w:r>
    </w:p>
    <w:p>
      <w:pPr>
        <w:spacing w:after="0" w:line="46" w:lineRule="exact"/>
        <w:rPr>
          <w:rFonts w:ascii="Wingdings" w:cs="Wingdings" w:eastAsia="Wingdings" w:hAnsi="Wingdings"/>
          <w:sz w:val="12"/>
          <w:szCs w:val="12"/>
          <w:b w:val="1"/>
          <w:bCs w:val="1"/>
          <w:color w:val="auto"/>
        </w:rPr>
      </w:pPr>
    </w:p>
    <w:p>
      <w:pPr>
        <w:ind w:left="300" w:right="14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successful data from our preclinical studies and clinical trials that support an acceptable risk-benefit profile of VDPHL01 and any of our other current or future product candidates in the intended populations and indications;</w:t>
      </w: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satisfaction of applicable regulatory requirements;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potential unforeseen safety issues or adverse side effects, either in clinical trials or following approval;</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receipt and maintenance of marketing approvals from applicable regulatory authorities;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remaining in compliance with post-marketing regulatory requirements;</w:t>
      </w:r>
    </w:p>
    <w:p>
      <w:pPr>
        <w:spacing w:after="0" w:line="33" w:lineRule="exact"/>
        <w:rPr>
          <w:rFonts w:ascii="Wingdings" w:cs="Wingdings" w:eastAsia="Wingdings" w:hAnsi="Wingdings"/>
          <w:sz w:val="12"/>
          <w:szCs w:val="12"/>
          <w:b w:val="1"/>
          <w:bCs w:val="1"/>
          <w:color w:val="auto"/>
        </w:rPr>
      </w:pPr>
    </w:p>
    <w:p>
      <w:pPr>
        <w:ind w:left="300" w:right="48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obtaining and maintaining patent and trade secret protection and regulatory exclusivity for VDPHL01 and any of our other current or future product candidates;</w:t>
      </w:r>
    </w:p>
    <w:p>
      <w:pPr>
        <w:ind w:left="300" w:right="24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making arrangements or maintaining existing arrangements with third-party manufacturers, or establishing manufacturing capabilities, for both clinical and commercial supplies of VDPHL01 and any of our other current or future product candidates;</w:t>
      </w: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entry into collaborations for the commercialization of VDPHL01 or to further the development of any of our other current or future product candidates;</w:t>
      </w:r>
    </w:p>
    <w:p>
      <w:pPr>
        <w:spacing w:after="0" w:line="46" w:lineRule="exact"/>
        <w:rPr>
          <w:rFonts w:ascii="Wingdings" w:cs="Wingdings" w:eastAsia="Wingdings" w:hAnsi="Wingdings"/>
          <w:sz w:val="12"/>
          <w:szCs w:val="12"/>
          <w:b w:val="1"/>
          <w:bCs w:val="1"/>
          <w:color w:val="auto"/>
        </w:rPr>
      </w:pPr>
    </w:p>
    <w:p>
      <w:pPr>
        <w:ind w:left="300" w:right="20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establishing sales, marketing and distribution capabilities and launching commercial sales of any approved products, whether alone or in collaboration with others;</w:t>
      </w: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successfully launching commercial sales of VDPHL01 and any of our other current or future product candidates, if and when approved;</w:t>
      </w:r>
    </w:p>
    <w:p>
      <w:pPr>
        <w:spacing w:after="0" w:line="46" w:lineRule="exact"/>
        <w:rPr>
          <w:rFonts w:ascii="Wingdings" w:cs="Wingdings" w:eastAsia="Wingdings" w:hAnsi="Wingdings"/>
          <w:sz w:val="12"/>
          <w:szCs w:val="12"/>
          <w:b w:val="1"/>
          <w:bCs w:val="1"/>
          <w:color w:val="auto"/>
        </w:rPr>
      </w:pPr>
    </w:p>
    <w:p>
      <w:pPr>
        <w:ind w:left="300" w:right="44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successfully creating market demand for VDPHL01 and any of our other current or future product candidates through our own marketing and sales activities, and any other arrangements to promote these product candidates that we may otherwise establish;</w:t>
      </w:r>
    </w:p>
    <w:p>
      <w:pPr>
        <w:ind w:left="300" w:right="22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manufacturing VDPHL01 and any of our other current or future product candidates in sufficient quantities and at acceptable quality and manufacturing cost to meet commercial demand at launch, if approved, and thereafter;</w:t>
      </w:r>
    </w:p>
    <w:p>
      <w:pPr>
        <w:ind w:left="300" w:right="60" w:hanging="298"/>
        <w:spacing w:after="0" w:line="275" w:lineRule="auto"/>
        <w:tabs>
          <w:tab w:leader="none" w:pos="299"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acceptance of VDPHL01 and any of our other current or future product candidates, if and when approved, by patients, the medical community and third-party payors;</w:t>
      </w: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products, following approval, maintaining a continued acceptable safety profile;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effectively competing with other therapies;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ensuring that we promote and distribute our products consistent with all applicable healthcare laws;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7"/>
        </w:numPr>
        <w:rPr>
          <w:rFonts w:ascii="Wingdings" w:cs="Wingdings" w:eastAsia="Wingdings" w:hAnsi="Wingdings"/>
          <w:sz w:val="12"/>
          <w:szCs w:val="12"/>
          <w:b w:val="1"/>
          <w:bCs w:val="1"/>
          <w:color w:val="auto"/>
        </w:rPr>
      </w:pPr>
      <w:r>
        <w:rPr>
          <w:rFonts w:ascii="Arial" w:cs="Arial" w:eastAsia="Arial" w:hAnsi="Arial"/>
          <w:sz w:val="16"/>
          <w:szCs w:val="16"/>
          <w:color w:val="auto"/>
        </w:rPr>
        <w:t>enforcing and defending intellectual property rights and claims.</w:t>
      </w:r>
    </w:p>
    <w:p>
      <w:pPr>
        <w:spacing w:after="0" w:line="213"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If we are unable to develop, receive regulatory approval for, or successfully commercialize VDPHL01 for the indications we are developing it for, or if we experience delays as a result of any of these risks or otherwise, our business and financial condition will be materially harmed.</w:t>
      </w: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1" w:name="page42"/>
    <w:bookmarkEnd w:id="41"/>
    <w:p>
      <w:pPr>
        <w:ind w:right="40"/>
        <w:spacing w:after="0" w:line="260" w:lineRule="auto"/>
        <w:rPr>
          <w:sz w:val="20"/>
          <w:szCs w:val="20"/>
          <w:color w:val="auto"/>
        </w:rPr>
      </w:pPr>
      <w:r>
        <w:rPr>
          <w:rFonts w:ascii="Arial" w:cs="Arial" w:eastAsia="Arial" w:hAnsi="Arial"/>
          <w:sz w:val="16"/>
          <w:szCs w:val="16"/>
          <w:color w:val="auto"/>
        </w:rPr>
        <w:t>In addition, of the large number of products in development in the pharmaceutical industry, only a small percentage result in the submission of an NDA to the FDA, and even fewer are approved for marketing and commercialization. Furthermore, even if we receive regulatory approval to market VDPHL01 for any indication, any such approval may be subject to limitations on the indications or uses or the patient populations for which we may market the product. Accordingly, even if we are able to obtain the requisite financing to continue to fund our development activities, we may not be able to successfully develop or commercialize VDPHL01 for any indication. If we or any of our current or licensing and collaboration partners are unable to develop, or obtain regulatory approval for, or, if approved, successfully commercialize VDPHL01 for its initial indication or potential additional indications, we may not be able to generate sufficient revenue to continue our business.</w:t>
      </w:r>
    </w:p>
    <w:p>
      <w:pPr>
        <w:spacing w:after="0" w:line="167"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We also are preparing to transition from a company with a development focus to a company capable of supporting commercial activities. We may not be successful in such a transition, and we may encounter unforeseen expenses, difficulties, complications, delays and other known or unknown factors that delay, impair or prevent us from achieving our business objectives. Our failure to become and remain profitable may depress the market price of our common stock and could impair our ability to raise capital, expand our business or continue our operations.</w:t>
      </w:r>
    </w:p>
    <w:p>
      <w:pPr>
        <w:spacing w:after="0" w:line="16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Preclinical and clinical development involves a lengthy and expensive process with an uncertain outcome, and results of earlier studies and trials may not be predictive of future preclinical studies or clinical trial results. We may encounter substantial delays in preclinical and clinical trials, or may not be able to conduct or complete preclinical or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0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It is impossible to predict when or if any of our product candidates will prove effective and safe in humans or will receive regulatory approval. Our ongoing, planned or future clinical trials may not ultimately be successful or support further clinical development or regulatory approval of VDPHL01 or any of our other current or future product candidates. Before obtaining marketing approval from regulatory authorities for the sale of any product candidate, we must complete preclinical studies and then conduct extensive clinical trials to demonstrate the safety and efficacy of our product candidates in humans.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A number of companies in the pharmaceutical and biotechnology industries have suffered significant setbacks in later stage clinical trials even after achieving promising results in earlier stage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may experience delays in initiating or completing preclinical studies or clinical trials, including as a result of delays in obtaining or failure to obtain the FDA’s clearance to initiate clinical trials under INDs. Additionally, we cannot be certain that preclinical studies or clinical trials for our product candidates will not require redesign, enroll an adequate number of subjects on time, or be completed on schedule, if at all. We may experience adverse or unforeseen events during, or as a result of, preclinical studies and clinical trials that could delay or terminate our trials, or delay or prevent our ability to receive marketing approval or commercialize our product candidates, including:</w:t>
      </w:r>
    </w:p>
    <w:p>
      <w:pPr>
        <w:spacing w:after="0" w:line="89" w:lineRule="exact"/>
        <w:rPr>
          <w:sz w:val="20"/>
          <w:szCs w:val="20"/>
          <w:color w:val="auto"/>
        </w:rPr>
      </w:pPr>
    </w:p>
    <w:p>
      <w:pPr>
        <w:ind w:left="300" w:right="240" w:hanging="298"/>
        <w:spacing w:after="0" w:line="283" w:lineRule="auto"/>
        <w:tabs>
          <w:tab w:leader="none" w:pos="299" w:val="left"/>
        </w:tabs>
        <w:numPr>
          <w:ilvl w:val="0"/>
          <w:numId w:val="28"/>
        </w:numPr>
        <w:rPr>
          <w:rFonts w:ascii="Wingdings" w:cs="Wingdings" w:eastAsia="Wingdings" w:hAnsi="Wingdings"/>
          <w:sz w:val="12"/>
          <w:szCs w:val="12"/>
          <w:b w:val="1"/>
          <w:bCs w:val="1"/>
          <w:color w:val="auto"/>
        </w:rPr>
      </w:pPr>
      <w:r>
        <w:rPr>
          <w:rFonts w:ascii="Arial" w:cs="Arial" w:eastAsia="Arial" w:hAnsi="Arial"/>
          <w:sz w:val="16"/>
          <w:szCs w:val="16"/>
          <w:color w:val="auto"/>
        </w:rPr>
        <w:t>we may receive feedback from regulatory authorities that requires us to modify the design or implementation of our preclinical studies or clinical trials, including our ability to commence a clinical trial;</w:t>
      </w:r>
    </w:p>
    <w:p>
      <w:pPr>
        <w:spacing w:after="0" w:line="1" w:lineRule="exact"/>
        <w:rPr>
          <w:rFonts w:ascii="Wingdings" w:cs="Wingdings" w:eastAsia="Wingdings" w:hAnsi="Wingdings"/>
          <w:sz w:val="12"/>
          <w:szCs w:val="12"/>
          <w:b w:val="1"/>
          <w:bCs w:val="1"/>
          <w:color w:val="auto"/>
        </w:rPr>
      </w:pPr>
    </w:p>
    <w:p>
      <w:pPr>
        <w:ind w:left="300" w:right="40" w:hanging="298"/>
        <w:spacing w:after="0" w:line="275" w:lineRule="auto"/>
        <w:tabs>
          <w:tab w:leader="none" w:pos="299" w:val="left"/>
        </w:tabs>
        <w:numPr>
          <w:ilvl w:val="0"/>
          <w:numId w:val="28"/>
        </w:numPr>
        <w:rPr>
          <w:rFonts w:ascii="Wingdings" w:cs="Wingdings" w:eastAsia="Wingdings" w:hAnsi="Wingdings"/>
          <w:sz w:val="12"/>
          <w:szCs w:val="12"/>
          <w:b w:val="1"/>
          <w:bCs w:val="1"/>
          <w:color w:val="auto"/>
        </w:rPr>
      </w:pPr>
      <w:r>
        <w:rPr>
          <w:rFonts w:ascii="Arial" w:cs="Arial" w:eastAsia="Arial" w:hAnsi="Arial"/>
          <w:sz w:val="16"/>
          <w:szCs w:val="16"/>
          <w:color w:val="auto"/>
        </w:rPr>
        <w:t>we may fail or be delayed in reaching agreement on acceptable terms with prospective CROs and clinical trial sites, the terms of which can be subject to extensive negotiation and may vary significantly among different CROs and clinical trial sites;</w:t>
      </w:r>
    </w:p>
    <w:p>
      <w:pPr>
        <w:ind w:left="300" w:hanging="298"/>
        <w:spacing w:after="0" w:line="275" w:lineRule="auto"/>
        <w:tabs>
          <w:tab w:leader="none" w:pos="299" w:val="left"/>
        </w:tabs>
        <w:numPr>
          <w:ilvl w:val="0"/>
          <w:numId w:val="28"/>
        </w:numPr>
        <w:rPr>
          <w:rFonts w:ascii="Wingdings" w:cs="Wingdings" w:eastAsia="Wingdings" w:hAnsi="Wingdings"/>
          <w:sz w:val="12"/>
          <w:szCs w:val="12"/>
          <w:b w:val="1"/>
          <w:bCs w:val="1"/>
          <w:color w:val="auto"/>
        </w:rPr>
      </w:pPr>
      <w:r>
        <w:rPr>
          <w:rFonts w:ascii="Arial" w:cs="Arial" w:eastAsia="Arial" w:hAnsi="Arial"/>
          <w:sz w:val="16"/>
          <w:szCs w:val="16"/>
          <w:color w:val="auto"/>
        </w:rPr>
        <w:t>we may be unable to or delayed in adding a sufficient number of clinical trial sites and obtaining Institutional Review Board, or IRB, or independent ethics committee approval at each clinical trial site;</w:t>
      </w:r>
    </w:p>
    <w:p>
      <w:pPr>
        <w:ind w:left="300" w:right="160" w:hanging="298"/>
        <w:spacing w:after="0" w:line="267" w:lineRule="auto"/>
        <w:tabs>
          <w:tab w:leader="none" w:pos="299" w:val="left"/>
        </w:tabs>
        <w:numPr>
          <w:ilvl w:val="0"/>
          <w:numId w:val="28"/>
        </w:numPr>
        <w:rPr>
          <w:rFonts w:ascii="Wingdings" w:cs="Wingdings" w:eastAsia="Wingdings" w:hAnsi="Wingdings"/>
          <w:sz w:val="12"/>
          <w:szCs w:val="12"/>
          <w:b w:val="1"/>
          <w:bCs w:val="1"/>
          <w:color w:val="auto"/>
        </w:rPr>
      </w:pPr>
      <w:r>
        <w:rPr>
          <w:rFonts w:ascii="Arial" w:cs="Arial" w:eastAsia="Arial" w:hAnsi="Arial"/>
          <w:sz w:val="16"/>
          <w:szCs w:val="16"/>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abandon our research efforts for our other product candidates;</w:t>
      </w:r>
    </w:p>
    <w:p>
      <w:pPr>
        <w:ind w:left="300" w:right="40" w:hanging="298"/>
        <w:spacing w:after="0" w:line="275" w:lineRule="auto"/>
        <w:tabs>
          <w:tab w:leader="none" w:pos="299" w:val="left"/>
        </w:tabs>
        <w:numPr>
          <w:ilvl w:val="0"/>
          <w:numId w:val="28"/>
        </w:numPr>
        <w:rPr>
          <w:rFonts w:ascii="Wingdings" w:cs="Wingdings" w:eastAsia="Wingdings" w:hAnsi="Wingdings"/>
          <w:sz w:val="12"/>
          <w:szCs w:val="12"/>
          <w:b w:val="1"/>
          <w:bCs w:val="1"/>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our clinical trials or fail to return for post-treatment follow-up at a higher rate than we anticipate;</w:t>
      </w:r>
    </w:p>
    <w:p>
      <w:pPr>
        <w:ind w:left="300" w:right="400" w:hanging="298"/>
        <w:spacing w:after="0" w:line="290" w:lineRule="auto"/>
        <w:tabs>
          <w:tab w:leader="none" w:pos="299" w:val="left"/>
        </w:tabs>
        <w:numPr>
          <w:ilvl w:val="0"/>
          <w:numId w:val="28"/>
        </w:numPr>
        <w:rPr>
          <w:rFonts w:ascii="Wingdings" w:cs="Wingdings" w:eastAsia="Wingdings" w:hAnsi="Wingdings"/>
          <w:sz w:val="12"/>
          <w:szCs w:val="12"/>
          <w:b w:val="1"/>
          <w:bCs w:val="1"/>
          <w:color w:val="auto"/>
        </w:rPr>
      </w:pPr>
      <w:r>
        <w:rPr>
          <w:rFonts w:ascii="Arial" w:cs="Arial" w:eastAsia="Arial" w:hAnsi="Arial"/>
          <w:sz w:val="16"/>
          <w:szCs w:val="16"/>
          <w:color w:val="auto"/>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spacing w:after="0" w:line="200" w:lineRule="exact"/>
        <w:rPr>
          <w:sz w:val="20"/>
          <w:szCs w:val="20"/>
          <w:color w:val="auto"/>
        </w:rPr>
      </w:pP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2" w:name="page43"/>
    <w:bookmarkEnd w:id="42"/>
    <w:p>
      <w:pPr>
        <w:ind w:left="300" w:right="240" w:hanging="298"/>
        <w:spacing w:after="0" w:line="267" w:lineRule="auto"/>
        <w:tabs>
          <w:tab w:leader="none" w:pos="299"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ind w:left="300" w:hanging="298"/>
        <w:spacing w:after="0"/>
        <w:tabs>
          <w:tab w:leader="none" w:pos="300"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we may experience difficulties in having subjects complete a clinical trial or return for post-treatment follow-up;</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clinical trial sites may deviate from clinical trial protocol or drop out of a clinical trial;</w:t>
      </w:r>
    </w:p>
    <w:p>
      <w:pPr>
        <w:spacing w:after="0" w:line="46" w:lineRule="exact"/>
        <w:rPr>
          <w:rFonts w:ascii="Wingdings" w:cs="Wingdings" w:eastAsia="Wingdings" w:hAnsi="Wingdings"/>
          <w:sz w:val="12"/>
          <w:szCs w:val="12"/>
          <w:b w:val="1"/>
          <w:bCs w:val="1"/>
          <w:color w:val="auto"/>
        </w:rPr>
      </w:pPr>
    </w:p>
    <w:p>
      <w:pPr>
        <w:ind w:left="300" w:right="360" w:hanging="298"/>
        <w:spacing w:after="0" w:line="275" w:lineRule="auto"/>
        <w:tabs>
          <w:tab w:leader="none" w:pos="299"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we may be unable or delayed in obtaining sufficient product supply of product candidate for use in preclinical studies or clinical trials from third-party suppliers;</w:t>
      </w:r>
    </w:p>
    <w:p>
      <w:pPr>
        <w:ind w:left="300" w:right="560" w:hanging="298"/>
        <w:spacing w:after="0" w:line="275" w:lineRule="auto"/>
        <w:tabs>
          <w:tab w:leader="none" w:pos="299"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ind w:left="300" w:hanging="298"/>
        <w:spacing w:after="0"/>
        <w:tabs>
          <w:tab w:leader="none" w:pos="300"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reports from clinical testing of other therapies may raise safety or efficacy concerns about our product candidates;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regulators may revise the requirements for approving our product candidates, or such requirements may not be as we anticipate;</w:t>
      </w:r>
    </w:p>
    <w:p>
      <w:pPr>
        <w:spacing w:after="0" w:line="46" w:lineRule="exact"/>
        <w:rPr>
          <w:rFonts w:ascii="Wingdings" w:cs="Wingdings" w:eastAsia="Wingdings" w:hAnsi="Wingdings"/>
          <w:sz w:val="12"/>
          <w:szCs w:val="12"/>
          <w:b w:val="1"/>
          <w:bCs w:val="1"/>
          <w:color w:val="auto"/>
        </w:rPr>
      </w:pPr>
    </w:p>
    <w:p>
      <w:pPr>
        <w:ind w:left="300" w:right="220" w:hanging="298"/>
        <w:spacing w:after="0" w:line="275" w:lineRule="auto"/>
        <w:tabs>
          <w:tab w:leader="none" w:pos="299"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regulators may not consider the endpoints of our clinical trials to provide clinically meaningful results if, for example, we cannot establish that the PRO measures used in our registration-directed trials are fit-for-purpose; and</w:t>
      </w:r>
    </w:p>
    <w:p>
      <w:pPr>
        <w:ind w:left="300" w:hanging="298"/>
        <w:spacing w:after="0"/>
        <w:tabs>
          <w:tab w:leader="none" w:pos="300" w:val="left"/>
        </w:tabs>
        <w:numPr>
          <w:ilvl w:val="0"/>
          <w:numId w:val="29"/>
        </w:numPr>
        <w:rPr>
          <w:rFonts w:ascii="Wingdings" w:cs="Wingdings" w:eastAsia="Wingdings" w:hAnsi="Wingdings"/>
          <w:sz w:val="12"/>
          <w:szCs w:val="12"/>
          <w:b w:val="1"/>
          <w:bCs w:val="1"/>
          <w:color w:val="auto"/>
        </w:rPr>
      </w:pPr>
      <w:r>
        <w:rPr>
          <w:rFonts w:ascii="Arial" w:cs="Arial" w:eastAsia="Arial" w:hAnsi="Arial"/>
          <w:sz w:val="16"/>
          <w:szCs w:val="16"/>
          <w:color w:val="auto"/>
        </w:rPr>
        <w:t>future collaborators may conduct clinical trials in ways they view as advantageous to them but that are suboptimal for us.</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If we are required to conduct additional preclinical studies or clinical trials or other testing of our product candidates beyond those that we currently contemplate, if we are unable to successfully complete clinical trials of our product candidates or other testing, if the results of these studies, trials or tests are not positive or are only moderately positive or if there are safety concerns, our business and results of operations may be adversely affected and we may incur significant additional costs.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would also encounter delays if a clinical trial is suspended or terminated by us, by the IRBs, or ethics committees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7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Moreover, principal investigators for our current and future clinical trials who serve as scientific advisors or consultants to us from time to time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If VDPHL01, or any of our other current or future product candidates, generally prove to be ineffective, unsafe or commercially unviable, our entire pipeline may have little, if any, value, which would have a material and adverse effect on our business, financial condition, results of operations and prospects.</w:t>
      </w:r>
    </w:p>
    <w:p>
      <w:pPr>
        <w:spacing w:after="0" w:line="146"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b w:val="1"/>
          <w:bCs w:val="1"/>
          <w:i w:val="1"/>
          <w:iCs w:val="1"/>
          <w:color w:val="auto"/>
        </w:rPr>
        <w:t>If the FDA does not conclude that VDPHL01 satisfies the requirements for the Section 505(b)(2) regulatory approval pathway, or if the requirements for VDPHL01 under Section 505(b)(2) are not as we expect, the approval pathway for those product candidates will likely take significantly longer, cost significantly more and entail significantly greater complications and risks than anticipated, and in either case may not be successful.</w:t>
      </w:r>
    </w:p>
    <w:p>
      <w:pPr>
        <w:spacing w:after="0" w:line="99"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While we believe that we will have the necessary supporting data to submit to the FDA a marketing application under the Federal Food, Drug and Cosmetic Act, or the FDCA, Section 505(b)(2) regulatory pathway for VDPHL01 for the treatment of patients with PHL upon completion of our ongoing registration-directed clinical trials of VDPHL01, the FDA may not agree that the Section 505(b)(2) pathway is appropriate and may not approve any such application or any future application for additional indication or future product candidates.</w:t>
      </w:r>
    </w:p>
    <w:p>
      <w:pPr>
        <w:spacing w:after="0" w:line="200" w:lineRule="exact"/>
        <w:rPr>
          <w:sz w:val="20"/>
          <w:szCs w:val="20"/>
          <w:color w:val="auto"/>
        </w:rPr>
      </w:pPr>
    </w:p>
    <w:p>
      <w:pPr>
        <w:spacing w:after="0" w:line="3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3" w:name="page44"/>
    <w:bookmarkEnd w:id="43"/>
    <w:p>
      <w:pPr>
        <w:spacing w:after="0" w:line="261" w:lineRule="auto"/>
        <w:rPr>
          <w:sz w:val="20"/>
          <w:szCs w:val="20"/>
          <w:color w:val="auto"/>
        </w:rPr>
      </w:pPr>
      <w:r>
        <w:rPr>
          <w:rFonts w:ascii="Arial" w:cs="Arial" w:eastAsia="Arial" w:hAnsi="Arial"/>
          <w:sz w:val="16"/>
          <w:szCs w:val="16"/>
          <w:color w:val="auto"/>
        </w:rPr>
        <w:t>The Drug Price Competition and Patent Term Restoration Act of 1984, as amended, or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available to us, would allow an NDA we submit to the FDA to rely in part on data in the public domain or the FDA’s prior conclusions regarding the safety and effectiveness of approved compounds, which could expedite the development program for our future product candidates by potentially decreasing the amount of preclinical and/or clinical data that we would need to generate in order to obtain FDA approval. This pathway does not, however, expedite the FDA review process timelines.</w:t>
      </w:r>
    </w:p>
    <w:p>
      <w:pPr>
        <w:spacing w:after="0" w:line="17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If the FDA does not allow us to pursue the Section 505(b)(2) regulatory pathway as anticipated, we may need to conduct additional preclinical studies and/or clinical trials, provide additional data and information, and meet additional standards for regulatory approval. If this were to occur, the time and financial resources required to obtain FDA approval for VDPHL01 or any of our other current or future product candidates, and complications and risks associated with such product candidates, would likely substantially increase. Moreover, inability to pursue the Section 505(b)(2) regulatory pathway could result in new competitive products reaching the market more quickly than any product candidates we develop, which could adversely impact our competitive position and prospects. Even if we are allowed to pursue the Section 505(b)(2) regulatory pathway, we cannot be certain that VDPHL01 or any of our other current or future product candidates we develop will receive the requisite approval for commercialization.</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addition, notwithstanding the approval of a number of products by the FDA under Section 505(b)(2), certain pharmaceutical companies and others have objected to the FDA’s interpretation of Section 505(b)(2). If the FDA’s interpretation of Section 505(b)(2) is successfully challenged, the FDA may change its Section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Any significant AEs or undesirable side effects caused by our product candidates may delay or prevent regulatory approval or market acceptance of our product candidates, or result in significant negative consequences following marketing approval, if any. Additionally, the clinical profile of VDPHL01 in female patients may differ from the clinical profile in male patients, and the outcomes observed to date in male patients may not be reflective or predictive of future outcomes for female patients.</w:t>
      </w:r>
    </w:p>
    <w:p>
      <w:pPr>
        <w:spacing w:after="0" w:line="99" w:lineRule="exact"/>
        <w:rPr>
          <w:sz w:val="20"/>
          <w:szCs w:val="20"/>
          <w:color w:val="auto"/>
        </w:rPr>
      </w:pPr>
    </w:p>
    <w:p>
      <w:pPr>
        <w:jc w:val="both"/>
        <w:ind w:right="340"/>
        <w:spacing w:after="0" w:line="270" w:lineRule="auto"/>
        <w:rPr>
          <w:sz w:val="20"/>
          <w:szCs w:val="20"/>
          <w:color w:val="auto"/>
        </w:rPr>
      </w:pPr>
      <w:r>
        <w:rPr>
          <w:rFonts w:ascii="Arial" w:cs="Arial" w:eastAsia="Arial" w:hAnsi="Arial"/>
          <w:sz w:val="16"/>
          <w:szCs w:val="16"/>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w:t>
      </w:r>
    </w:p>
    <w:p>
      <w:pPr>
        <w:spacing w:after="0" w:line="160"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have observed certain AEs in our clinical trials of VDPHL01, including viral upper respiratory tract infection and headache. The occurrence of AEs, side effects or other safety or tolerability concerns, could limit our opportunity to disrupt the current standard of care, particularly if AEs and SAEs are deemed to be related to VDPHL01 or any of our other current or future product candidates. Such a determination may require longer and more extensive clinical development, or regulatory authorities may increase the amount of data and information required to approve, market or maintain approval of our product candidates. In addition, unwanted hair growth on non-scalp parts of the body where hair is already naturally growing has been observed as a side effect of VDPHL01, which could deter adoption and continued use of VDPHL01 by those who find such additional hair growth to be undesirable. Additionally, although we are developing VDPHL01 in both male patients and female patients, we have less clinical experience to date with VDPHL01 in female patients and the tolerability profile of VDPHL01 in female patients may differ from the profile in male patients. The clinical profile of VDPHL01 in female patients may differ from the clinical profile in male patients, and the outcomes observed to date in male patients may not be reflective or predictive of future outcomes for female patients.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4" w:name="page45"/>
    <w:bookmarkEnd w:id="44"/>
    <w:p>
      <w:pPr>
        <w:ind w:right="120"/>
        <w:spacing w:after="0" w:line="264" w:lineRule="auto"/>
        <w:rPr>
          <w:sz w:val="20"/>
          <w:szCs w:val="20"/>
          <w:color w:val="auto"/>
        </w:rPr>
      </w:pPr>
      <w:r>
        <w:rPr>
          <w:rFonts w:ascii="Arial" w:cs="Arial" w:eastAsia="Arial" w:hAnsi="Arial"/>
          <w:sz w:val="16"/>
          <w:szCs w:val="16"/>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Even if we successfully develop a product candidate and it receives marketing approval, the FDA could require additional precautions, including requiring us to adopt a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Additionally, the FDA has required the inclusion of a boxed warning on the labeling for FDA-approved IR oral minoxidil for treatment of blood pressure and cardiovascular indications due to serious heart-related adverse effects. Although we have designed VDPHL01 to prevent the peak minoxidil concentrations from exceeding the drug’s known cardiac activity threshold, and to date we have not observed any cardiac AEs in our clinical trials of VDPHL01, we do not know at this stage whether FDA is likely to require inclusion of a boxed warning for VDPHL01, if approved. Additionally, concerns about cardiac risks associated with minoxidil may impact the perception of tolerability of VDPHL01.</w:t>
      </w:r>
    </w:p>
    <w:p>
      <w:pPr>
        <w:spacing w:after="0" w:line="18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Although the clinical trial process is designed to identify and assess potential side effects and AEs, clinical development does not always fully characterize the safety and efficacy profile of a new drug, and it is always possible that a drug, even after regulatory approval, may exhibit unforeseen side effects. AEs or side effects during clinical trials or after approval expose us to several potential negative consequences, including:</w:t>
      </w:r>
    </w:p>
    <w:p>
      <w:pPr>
        <w:spacing w:after="0" w:line="96" w:lineRule="exact"/>
        <w:rPr>
          <w:sz w:val="20"/>
          <w:szCs w:val="20"/>
          <w:color w:val="auto"/>
        </w:rPr>
      </w:pPr>
    </w:p>
    <w:p>
      <w:pPr>
        <w:ind w:left="300" w:hanging="298"/>
        <w:spacing w:after="0"/>
        <w:tabs>
          <w:tab w:leader="none" w:pos="300"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regulatory authorities may limit, suspend or withdraw approvals of such product, or may refuse to approve supplemental applications for such product;</w:t>
      </w:r>
    </w:p>
    <w:p>
      <w:pPr>
        <w:spacing w:after="0" w:line="46" w:lineRule="exact"/>
        <w:rPr>
          <w:rFonts w:ascii="Wingdings" w:cs="Wingdings" w:eastAsia="Wingdings" w:hAnsi="Wingdings"/>
          <w:sz w:val="12"/>
          <w:szCs w:val="12"/>
          <w:b w:val="1"/>
          <w:bCs w:val="1"/>
          <w:color w:val="auto"/>
        </w:rPr>
      </w:pPr>
    </w:p>
    <w:p>
      <w:pPr>
        <w:ind w:left="300" w:right="360" w:hanging="298"/>
        <w:spacing w:after="0" w:line="275" w:lineRule="auto"/>
        <w:tabs>
          <w:tab w:leader="none" w:pos="299"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regulatory authorities may require additional warnings on the label, such as a boxed warning, contraindications or precautions, or otherwise limit the approved use of such product;</w:t>
      </w:r>
    </w:p>
    <w:p>
      <w:pPr>
        <w:ind w:left="300" w:right="580" w:hanging="298"/>
        <w:spacing w:after="0" w:line="275" w:lineRule="auto"/>
        <w:tabs>
          <w:tab w:leader="none" w:pos="299"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regulatory authorities may impose additional restrictions on the marketing of, or the manufacturing processes for, the particular product, including requiring a REMS;</w:t>
      </w:r>
    </w:p>
    <w:p>
      <w:pPr>
        <w:ind w:left="300" w:hanging="298"/>
        <w:spacing w:after="0"/>
        <w:tabs>
          <w:tab w:leader="none" w:pos="300"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we may be required to recall the product or change the way it is administered in patients;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we may be required to conduct additional clinical trials;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we may decide to remove such product from the market;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we could be sued and held liable for harm caused to patients;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0"/>
        </w:numPr>
        <w:rPr>
          <w:rFonts w:ascii="Wingdings" w:cs="Wingdings" w:eastAsia="Wingdings" w:hAnsi="Wingdings"/>
          <w:sz w:val="12"/>
          <w:szCs w:val="12"/>
          <w:b w:val="1"/>
          <w:bCs w:val="1"/>
          <w:color w:val="auto"/>
        </w:rPr>
      </w:pPr>
      <w:r>
        <w:rPr>
          <w:rFonts w:ascii="Arial" w:cs="Arial" w:eastAsia="Arial" w:hAnsi="Arial"/>
          <w:sz w:val="16"/>
          <w:szCs w:val="16"/>
          <w:color w:val="auto"/>
        </w:rPr>
        <w:t>our reputation may suffer.</w:t>
      </w:r>
    </w:p>
    <w:p>
      <w:pPr>
        <w:spacing w:after="0" w:line="213"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5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We operate in highly competitive markets and face competition from large, well-established companies with significant resources as well as other entities, and, as a result, we may not be able to compete effectively.</w:t>
      </w:r>
    </w:p>
    <w:p>
      <w:pPr>
        <w:spacing w:after="0" w:line="7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intellectual property. While we believe our deep scientific knowledge of dermatology paired with our differentiated lead product candidate, VDPHL01, provides a strong competitive advantage, we face competition from many different sources, including pharmaceutical and biotechnology companies, generic drug companies, compounding pharmacies and consumer health companies as well as from academic institutions, governmental agencies and public and private research institutions. If our competitors develop technologies or product candidates more rapidly than we do, or if their technologies or product candidates are more effective or safer than ours, our ability to develop and successfully commercialize VDPHL01 or any of our future product candidates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5" w:name="page46"/>
    <w:bookmarkEnd w:id="45"/>
    <w:p>
      <w:pPr>
        <w:ind w:right="60"/>
        <w:spacing w:after="0" w:line="258" w:lineRule="auto"/>
        <w:rPr>
          <w:sz w:val="20"/>
          <w:szCs w:val="20"/>
          <w:color w:val="auto"/>
        </w:rPr>
      </w:pPr>
      <w:r>
        <w:rPr>
          <w:rFonts w:ascii="Arial" w:cs="Arial" w:eastAsia="Arial" w:hAnsi="Arial"/>
          <w:sz w:val="16"/>
          <w:szCs w:val="16"/>
          <w:color w:val="auto"/>
        </w:rPr>
        <w:t>Our competitors may have significantly greater financial resources, established presence in the market and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safer, or more effectively marketed and sold, than any product candidate we may commercialize and may render VDPHL01 or any future product candidates obsolete or non-competitive before we can recover development and commercialization expenses. In addition, our competitors may succeed in developing, acquiring or licensing technologies and drug products that are more effective or less costly than VDPHL01 or any future product candidates that we may develop, which could render such product candidates obsolete and noncompetitive. They may also compete in recruiting and retaining qualified scientific, sales, marketing and management personnel and establishing clinical trial sites and patient registration for clinical trials, as well as in acquiring technologies complementary to or necessary for, our product candidates. Smaller or early-stage companies may also prove to be significant competitors, particularly through collaborative arrangements with large and established companies.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Our commercial opportunity can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Further, our current or potential competitors may be acquired by third-parties with greater available resources, which has recently occurred in our industry.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have established, and may in the future establish, cooperative relationships with vendors of complementary products, technologies or services to increase the availability of their solutions in the marketplace.</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If approved, we anticipate that VDPHL01 will compete primarily against existing treatment options for PHL, including oral finasteride and topical minoxidil, off label IR oral minoxidil, low light laser therapy, or LLLT, and fractional laser non-ablative therapy as well as non-FDA approved non-prescription options such as “nutraceutical” supplements and shampoos. In particular, VDPHL01, if approved, will need to compete with an established OTC market and will require potential patients to consult with a doctor and receive a prescription, which may detract potential patients. Further, OTC products may be more competitively priced than VDPHL01, which may impact our ability to attract potential patients. We may also face competition from compounding pharmacies producing oral minoxidil formulations. Although FDA rules would not permit compounding pharmacies to prepare formulations that are essentially copies of VDPHL01 regularly or in inordinate amounts, FDA may not adequately regulate or enforce its requirements with respect to such compounding pharmacies, which could in turn lead to consumer confusion in the marketplace or result in potential VDPHL01 sales being diverted to compounding pharmacies.</w:t>
      </w:r>
    </w:p>
    <w:p>
      <w:pPr>
        <w:spacing w:after="0" w:line="17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There are several product candidates in clinical development which could potentially pose a direct competitive threat to VDPHL01 in the future for the treatment of PHL. To our knowledge, the only other late-stage product candidate that is currently under evaluation in a Phase 3 study in the U.S. for the treatment of PHL is Breezula, a topical androgen receptor antagonist by Cosmo Pharmaceuticals NV. We are also aware of other product candidates in clinical development, including: KX-826, a topical androgen receptor antagonist by Kintor Pharmaceutical Limited, PP405, a topical mitochondrial pyruvate carrier inhibitor by Pelage Pharmaceuticals, Inc., TDM-105795, topical thyromimetic by TechnoDerma Medicines Inc. and ET-02, a topical treatment of undisclosed mechanism by Eirion Therapeutics, Inc. We are also aware of other companies with programs for hair loss, including Hope Medicine Inc, Samson Clinical Pty Ltd, Amplifica Holdings Group Inc., Dermaliq Therapeutics, Inc. and Absci Corporation.</w:t>
      </w:r>
    </w:p>
    <w:p>
      <w:pPr>
        <w:spacing w:after="0" w:line="18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ability to compete effectively depends on our ability to distinguish our company and our offerings from our competitors and their products, and includes factors such as:</w:t>
      </w:r>
    </w:p>
    <w:p>
      <w:pPr>
        <w:spacing w:after="0" w:line="80" w:lineRule="exact"/>
        <w:rPr>
          <w:sz w:val="20"/>
          <w:szCs w:val="20"/>
          <w:color w:val="auto"/>
        </w:rPr>
      </w:pPr>
    </w:p>
    <w:p>
      <w:pPr>
        <w:ind w:left="300" w:hanging="298"/>
        <w:spacing w:after="0"/>
        <w:tabs>
          <w:tab w:leader="none" w:pos="300" w:val="left"/>
        </w:tabs>
        <w:numPr>
          <w:ilvl w:val="0"/>
          <w:numId w:val="31"/>
        </w:numPr>
        <w:rPr>
          <w:rFonts w:ascii="Wingdings" w:cs="Wingdings" w:eastAsia="Wingdings" w:hAnsi="Wingdings"/>
          <w:sz w:val="12"/>
          <w:szCs w:val="12"/>
          <w:b w:val="1"/>
          <w:bCs w:val="1"/>
          <w:color w:val="auto"/>
        </w:rPr>
      </w:pPr>
      <w:r>
        <w:rPr>
          <w:rFonts w:ascii="Arial" w:cs="Arial" w:eastAsia="Arial" w:hAnsi="Arial"/>
          <w:sz w:val="16"/>
          <w:szCs w:val="16"/>
          <w:color w:val="auto"/>
        </w:rPr>
        <w:t>efficacy, safety and tolerability of our products;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1"/>
        </w:numPr>
        <w:rPr>
          <w:rFonts w:ascii="Wingdings" w:cs="Wingdings" w:eastAsia="Wingdings" w:hAnsi="Wingdings"/>
          <w:sz w:val="12"/>
          <w:szCs w:val="12"/>
          <w:b w:val="1"/>
          <w:bCs w:val="1"/>
          <w:color w:val="auto"/>
        </w:rPr>
      </w:pPr>
      <w:r>
        <w:rPr>
          <w:rFonts w:ascii="Arial" w:cs="Arial" w:eastAsia="Arial" w:hAnsi="Arial"/>
          <w:sz w:val="16"/>
          <w:szCs w:val="16"/>
          <w:color w:val="auto"/>
        </w:rPr>
        <w:t>timing and scope of regulatory approvals for these products;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1"/>
        </w:numPr>
        <w:rPr>
          <w:rFonts w:ascii="Wingdings" w:cs="Wingdings" w:eastAsia="Wingdings" w:hAnsi="Wingdings"/>
          <w:sz w:val="12"/>
          <w:szCs w:val="12"/>
          <w:b w:val="1"/>
          <w:bCs w:val="1"/>
          <w:color w:val="auto"/>
        </w:rPr>
      </w:pPr>
      <w:r>
        <w:rPr>
          <w:rFonts w:ascii="Arial" w:cs="Arial" w:eastAsia="Arial" w:hAnsi="Arial"/>
          <w:sz w:val="16"/>
          <w:szCs w:val="16"/>
          <w:color w:val="auto"/>
        </w:rPr>
        <w:t>availability and cost of manufacturing;</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1"/>
        </w:numPr>
        <w:rPr>
          <w:rFonts w:ascii="Wingdings" w:cs="Wingdings" w:eastAsia="Wingdings" w:hAnsi="Wingdings"/>
          <w:sz w:val="12"/>
          <w:szCs w:val="12"/>
          <w:b w:val="1"/>
          <w:bCs w:val="1"/>
          <w:color w:val="auto"/>
        </w:rPr>
      </w:pPr>
      <w:r>
        <w:rPr>
          <w:rFonts w:ascii="Arial" w:cs="Arial" w:eastAsia="Arial" w:hAnsi="Arial"/>
          <w:sz w:val="16"/>
          <w:szCs w:val="16"/>
          <w:color w:val="auto"/>
        </w:rPr>
        <w:t>patent position;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1"/>
        </w:numPr>
        <w:rPr>
          <w:rFonts w:ascii="Wingdings" w:cs="Wingdings" w:eastAsia="Wingdings" w:hAnsi="Wingdings"/>
          <w:sz w:val="12"/>
          <w:szCs w:val="12"/>
          <w:b w:val="1"/>
          <w:bCs w:val="1"/>
          <w:color w:val="auto"/>
        </w:rPr>
      </w:pPr>
      <w:r>
        <w:rPr>
          <w:rFonts w:ascii="Arial" w:cs="Arial" w:eastAsia="Arial" w:hAnsi="Arial"/>
          <w:sz w:val="16"/>
          <w:szCs w:val="16"/>
          <w:color w:val="auto"/>
        </w:rPr>
        <w:t>accessibility, ease of use and convenience;</w:t>
      </w:r>
    </w:p>
    <w:p>
      <w:pPr>
        <w:spacing w:after="0" w:line="200" w:lineRule="exact"/>
        <w:rPr>
          <w:sz w:val="20"/>
          <w:szCs w:val="20"/>
          <w:color w:val="auto"/>
        </w:rPr>
      </w:pPr>
    </w:p>
    <w:p>
      <w:pPr>
        <w:spacing w:after="0" w:line="28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6" w:name="page47"/>
    <w:bookmarkEnd w:id="46"/>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price and affordability;</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reimbursement coverage;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brand recognition;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long-term outcomes;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breadth and efficacy of offerings;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market penetration;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marketing and sales capabilities;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partnerships and alliances;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relationships with providers, suppliers and partners;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2"/>
        </w:numPr>
        <w:rPr>
          <w:rFonts w:ascii="Wingdings" w:cs="Wingdings" w:eastAsia="Wingdings" w:hAnsi="Wingdings"/>
          <w:sz w:val="12"/>
          <w:szCs w:val="12"/>
          <w:b w:val="1"/>
          <w:bCs w:val="1"/>
          <w:color w:val="auto"/>
        </w:rPr>
      </w:pPr>
      <w:r>
        <w:rPr>
          <w:rFonts w:ascii="Arial" w:cs="Arial" w:eastAsia="Arial" w:hAnsi="Arial"/>
          <w:sz w:val="16"/>
          <w:szCs w:val="16"/>
          <w:color w:val="auto"/>
        </w:rPr>
        <w:t>regulatory compliance recourses.</w:t>
      </w:r>
    </w:p>
    <w:p>
      <w:pPr>
        <w:spacing w:after="0" w:line="213"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color w:val="auto"/>
        </w:rPr>
        <w:t>If we are unable to successfully compete with existing and potential competitors, our business, financial condition, and results of operations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or difficulties in the enrollment and dosing of patients in clinical trials may delay or prevent receipt of necessary regulatory approvals.</w:t>
      </w:r>
    </w:p>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that may be approved for the indications being investigated by us.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addition, clinical trials commonly compete with other clinical trials for product candidates that address the same diseases or conditions,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161"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If we or our collaborators, if any,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15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144" w:lineRule="exact"/>
        <w:rPr>
          <w:sz w:val="20"/>
          <w:szCs w:val="20"/>
          <w:color w:val="auto"/>
        </w:rPr>
      </w:pPr>
    </w:p>
    <w:p>
      <w:pPr>
        <w:jc w:val="both"/>
        <w:ind w:right="380"/>
        <w:spacing w:after="0" w:line="278" w:lineRule="auto"/>
        <w:rPr>
          <w:sz w:val="20"/>
          <w:szCs w:val="20"/>
          <w:color w:val="auto"/>
        </w:rPr>
      </w:pPr>
      <w:r>
        <w:rPr>
          <w:rFonts w:ascii="Arial" w:cs="Arial" w:eastAsia="Arial" w:hAnsi="Arial"/>
          <w:sz w:val="16"/>
          <w:szCs w:val="16"/>
          <w:color w:val="auto"/>
        </w:rPr>
        <w:t>Difficulties enrolling a sufficient number of patients to conduct our clinical trials as planned may require us to delay, limit or terminate clinical trials for our product candidates, or expand to additional jurisdictions, which could impose additional challenges on our company. Failure to successfully conduct our clinical trials as planned, would have an adverse effect on our business, financial condition, results of operations and prospects.</w:t>
      </w:r>
    </w:p>
    <w:p>
      <w:pPr>
        <w:spacing w:after="0" w:line="15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i w:val="1"/>
          <w:iCs w:val="1"/>
          <w:color w:val="auto"/>
        </w:rPr>
        <w:t>As an organization, we have only recently initiated registration-directed clinical trials, and may be unable to complete such trials for any product candidates we may develop, including VDPHL01.</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will need to successfully complete our ongoing and planned clinical trials, including registrational clinical trials, in order to obtain FDA approval to market our product candidates. Carrying out later-stage clinical trials and the submission of a successful NDA is a complicated process. As an organization, we have initiated Phase 2 and Phase 3 clinical trials, but we have not previously completed such later stage or registrational clinical trials and have not previously submitted an NDA for any product candidate. Consequently, we may be unable to successfully and efficiently execute and complete necessary clinical trials in a way that leads to NDA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including trials of VDPHL01 for men or for women could prevent us from or delay us in commercializing our product candidates, including VDPHL01.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7" w:name="page48"/>
    <w:bookmarkEnd w:id="47"/>
    <w:p>
      <w:pPr>
        <w:ind w:right="520"/>
        <w:spacing w:after="0" w:line="298" w:lineRule="auto"/>
        <w:rPr>
          <w:sz w:val="20"/>
          <w:szCs w:val="20"/>
          <w:color w:val="auto"/>
        </w:rPr>
      </w:pPr>
      <w:r>
        <w:rPr>
          <w:rFonts w:ascii="Arial" w:cs="Arial" w:eastAsia="Arial" w:hAnsi="Arial"/>
          <w:sz w:val="16"/>
          <w:szCs w:val="16"/>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7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preliminary and top-line data should be viewed with caution until the final data are available.</w:t>
      </w:r>
    </w:p>
    <w:p>
      <w:pPr>
        <w:spacing w:after="0" w:line="169"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 For example, in April 2026, we reported topline data in male patients from Study ‘302’; however, these results may not ultimately be reproducible or durable.</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w:t>
      </w:r>
    </w:p>
    <w:p>
      <w:pPr>
        <w:spacing w:after="0" w:line="16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16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i w:val="1"/>
          <w:iCs w:val="1"/>
          <w:color w:val="auto"/>
        </w:rPr>
        <w:t>We intend to expend our resources to pursue VDPHL01 and therefore may fail to capitalize on, or identify product candidates that may be more profitable or for which there is a greater likelihood of success.</w:t>
      </w:r>
    </w:p>
    <w:p>
      <w:pPr>
        <w:spacing w:after="0" w:line="7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Because we have limited financial and managerial resources, we are currently focusing our development efforts on our lead product candidate, VDPHL01, for the treatment of PHL. As a result, we may forgo or delay pursuit of opportunities with other existing or potential product candidates or other indications for our existing product candidates that later prove to have greater commercial potential. Our resource allocation decisions may result in our failure to capitalize on viable commercial products or profitable commercial opportunities. Our spending on VDPHL01 and other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The increasing use of social media platforms presents new risks and challenges.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Social media is increasingly being used to communicate about our clinical development activities and PHL, which is the indication VDPHL01 is being developed to treat, and we intend to utilize appropriate social media in connection with our commercialization efforts of VDPHL01, if approved. For example, we have engaged in social media campaigns to increase awareness of VDPHL01 and to attract potential patients our clinical trials. Social media practices in the biotechnology and biopharmaceutical industries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promotion of an unapproved new drug, false or misleading advertising, or other prohibited activities and heightened scrutiny by the FDA, the Federal Trade Commission, or FTC, the SEC and other regulators. For example, patients may use social media channels to comment on their experience in an ongoing clinical trial or to report an alleged side effect or adverse event, or AE. If such disclosures occur, there is a risk that trial enrollment may be adversely impacted, that we may fail to monitor and comply with applicable AE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personal or confidential information or negative or inaccurate posts or comments about us on any social networking website. In addition, we may encounter attacks on social media regarding us, our management, VDPHL01 or any of our other current or future product candidates. If any of these events were to occur or we otherwise fail to comply with applicable regulations, we could incur liability, face regulatory actions, suffer reputational harm or incur other harm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efforts to build a pipeline of additional product candidates.</w:t>
      </w:r>
    </w:p>
    <w:p>
      <w:pPr>
        <w:spacing w:after="0" w:line="16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goal is to develop a focused portfolio of aesthetic dermatology product candidates targeting high-prevalence dermatologic conditions, with potential selective development of medical dermatology product candidates. We may not be able to continue to identify and develop new product candidates in addition to the pipeline of product candidates that we have established.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18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From time to time, we may estimate the timing of the accomplishment of various scientific, clinical, regulatory, manufacturing and other product development goals. These milestones may include the commencement or completion of preclinical studies and clinical trials and the submission of regulatory filings, including IND and NDA submissions. From time to time, we may publicly announce the expected timing of such milestones. The achievement of these milestones is,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40"/>
        <w:spacing w:after="0" w:line="298" w:lineRule="auto"/>
        <w:rPr>
          <w:sz w:val="20"/>
          <w:szCs w:val="20"/>
          <w:color w:val="auto"/>
        </w:rPr>
      </w:pPr>
      <w:r>
        <w:rPr>
          <w:rFonts w:ascii="Arial" w:cs="Arial" w:eastAsia="Arial" w:hAnsi="Arial"/>
          <w:sz w:val="16"/>
          <w:szCs w:val="16"/>
          <w:b w:val="1"/>
          <w:bCs w:val="1"/>
          <w:i w:val="1"/>
          <w:iCs w:val="1"/>
          <w:color w:val="auto"/>
        </w:rPr>
        <w:t>Product liability lawsuits against us or any of our licensing and collaboration partners could divert our resources and attention, cause us to incur substantial liabilities and limit commercialization of VDPHL01 or any of our other current or future product candidates.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VDPHL01 or any of our other current or future product candidates by us and any current and licensing and collaboration partners in clinical trials, and the sale of VDPHL01 or any of our other current or future product candidates, if approved, in the future, may expose us to liability claims. Product liability claims may be brought against us or our partners by participants enrolled in our clinical trials, patients, health care providers, pharmaceutical companies, our current and licensing and collaboration partners or others using, administering or selling any of our future approved products. If we cannot successfully defend ourself against any such claims, we may incur substantial liabilities or be required to cease or limit commercialization of VDPHL01 or any of our other current or future product candidates if approved. Regardless of the merits or eventual outcome, liability claims may result in:</w:t>
      </w:r>
    </w:p>
    <w:p>
      <w:pPr>
        <w:spacing w:after="0" w:line="102" w:lineRule="exact"/>
        <w:rPr>
          <w:sz w:val="20"/>
          <w:szCs w:val="20"/>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decreased demand for any of our future approved products;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injury to our reputation;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withdrawal of clinical trial participants;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termination of clinical trial sites or entire trial programs;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significant litigation costs, including with respect to potential class action lawsuits;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substantial monetary awards to, or costly settlements with, patients or other claimants;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product recalls or a change in the indications for which they may be used;</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loss of revenue;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diversion of management and scientific resources from our business operations;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3"/>
        </w:numPr>
        <w:rPr>
          <w:rFonts w:ascii="Wingdings" w:cs="Wingdings" w:eastAsia="Wingdings" w:hAnsi="Wingdings"/>
          <w:sz w:val="12"/>
          <w:szCs w:val="12"/>
          <w:b w:val="1"/>
          <w:bCs w:val="1"/>
          <w:color w:val="auto"/>
        </w:rPr>
      </w:pPr>
      <w:r>
        <w:rPr>
          <w:rFonts w:ascii="Arial" w:cs="Arial" w:eastAsia="Arial" w:hAnsi="Arial"/>
          <w:sz w:val="16"/>
          <w:szCs w:val="16"/>
          <w:color w:val="auto"/>
        </w:rPr>
        <w:t>the inability to commercialize VDPHL01 or any of our other current or future product candidates.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Although we maintain product liability insurance coverage of up to $5 million in the aggregate,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VDPHL01 or any of our other current or future product candidates that receives regulatory approval. In addition, insurance coverage is becoming increasingly expensive. Failure to maintain sufficient insurance coverage at an acceptable cost or to otherwise protect against potential product liability claims, could prevent or inhibit the development and commercial production and sale of VDPHL01 or any of our other current or future product candidates, which could harm our business, financial condition, results of operations and prospects. Furthermore, if any of our current or future product candidates, including VDPHL01, are approved for marketing and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0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i w:val="1"/>
          <w:iCs w:val="1"/>
          <w:color w:val="auto"/>
        </w:rPr>
        <w:t>We currently have limited marketing, sales or distribution infrastructure. If we are unable to fully develop our sales, marketing and distribution capability on our own or through collaborations with marketing partners, we may not be successful in commercializing our product candidates.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currently building our marketing, sales or distribution capabilities. As a company we have not commercialized or marketed any products to date. If VDPHL01 is approved for the treatment of PHL or if any of our other current or future product candidate is approved, we will need to expand our sales and marketing organization, on our own or in collaboration with third parties, and add further technical expertise and supporting distribution capabilities to commercialize the approved product in key territories, which will require substantial additional resources. We anticipate that a large portion of these costs will be incurred in advance of any approval of VDPHL01. There are risks involved with both establishing our own sales, marketing and distribution capabilities and entering into arrangements with third parties to perform these services. For example, recruiting and training a commercial organization is expensive and time consuming and could delay any product launch. If the commercial launch of VDPHL01 or any other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Any failure or delay in the development of our or third parties’ internal sales, marketing and distribution capabilities would adversely impact the commercialization of VDPHL01 and any other product candidates.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Factors that may inhibit our efforts to commercialize VDPHL01 or any of our other current or future product candidates on its own include:</w:t>
      </w:r>
    </w:p>
    <w:p>
      <w:pPr>
        <w:spacing w:after="0" w:line="149" w:lineRule="exact"/>
        <w:rPr>
          <w:sz w:val="20"/>
          <w:szCs w:val="20"/>
          <w:color w:val="auto"/>
        </w:rPr>
      </w:pPr>
    </w:p>
    <w:p>
      <w:pPr>
        <w:ind w:left="300" w:hanging="298"/>
        <w:spacing w:after="0"/>
        <w:tabs>
          <w:tab w:leader="none" w:pos="300" w:val="left"/>
        </w:tabs>
        <w:numPr>
          <w:ilvl w:val="0"/>
          <w:numId w:val="34"/>
        </w:numPr>
        <w:rPr>
          <w:rFonts w:ascii="Wingdings" w:cs="Wingdings" w:eastAsia="Wingdings" w:hAnsi="Wingdings"/>
          <w:sz w:val="12"/>
          <w:szCs w:val="12"/>
          <w:b w:val="1"/>
          <w:bCs w:val="1"/>
          <w:color w:val="auto"/>
        </w:rPr>
      </w:pPr>
      <w:r>
        <w:rPr>
          <w:rFonts w:ascii="Arial" w:cs="Arial" w:eastAsia="Arial" w:hAnsi="Arial"/>
          <w:sz w:val="16"/>
          <w:szCs w:val="16"/>
          <w:color w:val="auto"/>
        </w:rPr>
        <w:t>our inability to recruit and retain adequate numbers of effective sales and marketing personnel;</w:t>
      </w:r>
    </w:p>
    <w:p>
      <w:pPr>
        <w:spacing w:after="0" w:line="46" w:lineRule="exact"/>
        <w:rPr>
          <w:rFonts w:ascii="Wingdings" w:cs="Wingdings" w:eastAsia="Wingdings" w:hAnsi="Wingdings"/>
          <w:sz w:val="12"/>
          <w:szCs w:val="12"/>
          <w:b w:val="1"/>
          <w:bCs w:val="1"/>
          <w:color w:val="auto"/>
        </w:rPr>
      </w:pPr>
    </w:p>
    <w:p>
      <w:pPr>
        <w:ind w:left="300" w:right="220" w:hanging="298"/>
        <w:spacing w:after="0" w:line="275" w:lineRule="auto"/>
        <w:tabs>
          <w:tab w:leader="none" w:pos="299" w:val="left"/>
        </w:tabs>
        <w:numPr>
          <w:ilvl w:val="0"/>
          <w:numId w:val="34"/>
        </w:numPr>
        <w:rPr>
          <w:rFonts w:ascii="Wingdings" w:cs="Wingdings" w:eastAsia="Wingdings" w:hAnsi="Wingdings"/>
          <w:sz w:val="12"/>
          <w:szCs w:val="12"/>
          <w:b w:val="1"/>
          <w:bCs w:val="1"/>
          <w:color w:val="auto"/>
        </w:rPr>
      </w:pPr>
      <w:r>
        <w:rPr>
          <w:rFonts w:ascii="Arial" w:cs="Arial" w:eastAsia="Arial" w:hAnsi="Arial"/>
          <w:sz w:val="16"/>
          <w:szCs w:val="16"/>
          <w:color w:val="auto"/>
        </w:rPr>
        <w:t>the inability of sales personnel to obtain access to or our failure to educate adequate numbers of dermatologists or other physicians on the benefits of our products;</w:t>
      </w:r>
    </w:p>
    <w:p>
      <w:pPr>
        <w:ind w:left="300" w:right="140" w:hanging="298"/>
        <w:spacing w:after="0" w:line="275" w:lineRule="auto"/>
        <w:tabs>
          <w:tab w:leader="none" w:pos="299" w:val="left"/>
        </w:tabs>
        <w:numPr>
          <w:ilvl w:val="0"/>
          <w:numId w:val="34"/>
        </w:numPr>
        <w:rPr>
          <w:rFonts w:ascii="Wingdings" w:cs="Wingdings" w:eastAsia="Wingdings" w:hAnsi="Wingdings"/>
          <w:sz w:val="12"/>
          <w:szCs w:val="12"/>
          <w:b w:val="1"/>
          <w:bCs w:val="1"/>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ind w:left="300" w:hanging="298"/>
        <w:spacing w:after="0"/>
        <w:tabs>
          <w:tab w:leader="none" w:pos="300" w:val="left"/>
        </w:tabs>
        <w:numPr>
          <w:ilvl w:val="0"/>
          <w:numId w:val="34"/>
        </w:numPr>
        <w:rPr>
          <w:rFonts w:ascii="Wingdings" w:cs="Wingdings" w:eastAsia="Wingdings" w:hAnsi="Wingdings"/>
          <w:sz w:val="12"/>
          <w:szCs w:val="12"/>
          <w:b w:val="1"/>
          <w:bCs w:val="1"/>
          <w:color w:val="auto"/>
        </w:rPr>
      </w:pPr>
      <w:r>
        <w:rPr>
          <w:rFonts w:ascii="Arial" w:cs="Arial" w:eastAsia="Arial" w:hAnsi="Arial"/>
          <w:sz w:val="16"/>
          <w:szCs w:val="16"/>
          <w:color w:val="auto"/>
        </w:rPr>
        <w:t>unforeseen costs and expenses associated with building out an independent sales and marketing organization.</w:t>
      </w:r>
    </w:p>
    <w:p>
      <w:pPr>
        <w:spacing w:after="0" w:line="21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may enter into licensing and collaboration agreements in foreign territories for the commercialization of VDPHL01 or any of our other current or future product candidates, however, we may be unable to enter into such agreements on favorable terms, if at all. Our product revenue may be lower than if we directly marketed or sold our products, if approved. In addition, any revenue we receive will depend in whole or in part upon the efforts of these third parties, which may not be successful and are generally not within our control. We likely will have little control over such third parties, and any of them may fail to devote the necessary resources and attention to sell and market our products effectively.</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also will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VDPHL01 or any of our other current or future product candidates, if approved. Without an internal team or the support of a third-party to perform marketing and sales functions, we may be unable to compete successfully against these more established companies.</w:t>
      </w:r>
    </w:p>
    <w:p>
      <w:pPr>
        <w:spacing w:after="0" w:line="180"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If we do not expand our sales and marketing capabilities successfully, on our own or in collaboration with third parties, we will not be successful in commercializing VDPHL01, if approved, or any of our other current or future product candidates. If we are not successful in commercializing any approved products, our future product revenue will suffer and we may incur significant additional losses.</w:t>
      </w:r>
    </w:p>
    <w:p>
      <w:pPr>
        <w:spacing w:after="0" w:line="16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Furthermore, our efforts to educate patients, dermatologists and other physicians, on the benefits of VDPHL01 or any of our other or future product candidates may require more resources than we anticipate and may never be successful. Even if VDPHL01 or any of our other or future product candidates is approved, if we are unable to market our products successfully we will not be able to generate significant revenues from such products.</w:t>
      </w:r>
    </w:p>
    <w:p>
      <w:pPr>
        <w:spacing w:after="0" w:line="15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Even if we obtain regulatory approval for VDPHL01 or any other product candidates, such products may fail to achieve market acceptance which would adversely affect our efforts to commercialize any such product successfully.</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current business strategy is highly dependent on the successful development and commercialization of VDPHL01, if approved, and achieving and maintaining market acceptance of VDPHL01. VDPHL01, if approved as a hair loss treatment, may not be covered by government health benefit programs or private insurance as such treatments are generally not considered medically necessary. Lack of insurance coverage may adversely affect our ability to successfully commercialize VDPHL01 if health care practitioners are unwilling to prescribe products that are not covered and consumers are unwilling to pay the full cost of such products.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If we are not successful in demonstrating to existing and potential customers the benefits of VDPHL01 or any of our other current or future product candidates, if approved, our business will be adversely affected. We have never commercialized a product, and even if VDPHL01, or any of our other current or future product candidates, is approved by the appropriate regulatory authorities for marketing and sale, it may nonetheless fail to gain sufficient market acceptance by physicians, patients and others in the medical community. The rate of adoption by health care practitioners of any products for which we may receive marketing approval and consumer demand for such products will likely depend on several factors, including:</w:t>
      </w:r>
    </w:p>
    <w:p>
      <w:pPr>
        <w:spacing w:after="0" w:line="102" w:lineRule="exact"/>
        <w:rPr>
          <w:sz w:val="20"/>
          <w:szCs w:val="20"/>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the safety and effectiveness of the product;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the prevalence and severity of any side effects;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the convenience and ease of use of the product;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changes in the standard of care for the targeted indications for the product;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our ability to offer the product for sale at competitive prices;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5"/>
        </w:numPr>
        <w:rPr>
          <w:rFonts w:ascii="Wingdings" w:cs="Wingdings" w:eastAsia="Wingdings" w:hAnsi="Wingdings"/>
          <w:sz w:val="12"/>
          <w:szCs w:val="12"/>
          <w:b w:val="1"/>
          <w:bCs w:val="1"/>
          <w:color w:val="auto"/>
        </w:rPr>
      </w:pPr>
      <w:r>
        <w:rPr>
          <w:rFonts w:ascii="Arial" w:cs="Arial" w:eastAsia="Arial" w:hAnsi="Arial"/>
          <w:sz w:val="16"/>
          <w:szCs w:val="16"/>
          <w:color w:val="auto"/>
        </w:rPr>
        <w:t>the cost, availability, and effectiveness of competitor therapies, including OTC drugs;</w:t>
      </w: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1" w:name="page52"/>
    <w:bookmarkEnd w:id="51"/>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changes in pricing and promotional efforts by competitors;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cost of the product for consumers;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willingness of consumers to try the product;</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consumer satisfaction with the results of the product;</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extent to which health care practitioners recommend the product to their patients;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willingness of consumers to pay for products indicated for aesthetic purposes;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success of efforts to educate potential prescribers and consumers regarding the benefits of our product as compared to those of other treatments;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strength of sales, marketing, and distribution support;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6"/>
        </w:numPr>
        <w:rPr>
          <w:rFonts w:ascii="Wingdings" w:cs="Wingdings" w:eastAsia="Wingdings" w:hAnsi="Wingdings"/>
          <w:sz w:val="12"/>
          <w:szCs w:val="12"/>
          <w:b w:val="1"/>
          <w:bCs w:val="1"/>
          <w:color w:val="auto"/>
        </w:rPr>
      </w:pPr>
      <w:r>
        <w:rPr>
          <w:rFonts w:ascii="Arial" w:cs="Arial" w:eastAsia="Arial" w:hAnsi="Arial"/>
          <w:sz w:val="16"/>
          <w:szCs w:val="16"/>
          <w:color w:val="auto"/>
        </w:rPr>
        <w:t>the success of any DTC marketing efforts for the product, which may depend on current and future restrictions on any DTC advertising.</w:t>
      </w:r>
    </w:p>
    <w:p>
      <w:pPr>
        <w:spacing w:after="0" w:line="215" w:lineRule="exact"/>
        <w:rPr>
          <w:sz w:val="20"/>
          <w:szCs w:val="20"/>
          <w:color w:val="auto"/>
        </w:rPr>
      </w:pPr>
    </w:p>
    <w:p>
      <w:pPr>
        <w:ind w:right="880"/>
        <w:spacing w:after="0" w:line="298" w:lineRule="auto"/>
        <w:rPr>
          <w:sz w:val="20"/>
          <w:szCs w:val="20"/>
          <w:color w:val="auto"/>
        </w:rPr>
      </w:pPr>
      <w:r>
        <w:rPr>
          <w:rFonts w:ascii="Arial" w:cs="Arial" w:eastAsia="Arial" w:hAnsi="Arial"/>
          <w:sz w:val="16"/>
          <w:szCs w:val="16"/>
          <w:b w:val="1"/>
          <w:bCs w:val="1"/>
          <w:i w:val="1"/>
          <w:iCs w:val="1"/>
          <w:color w:val="auto"/>
        </w:rPr>
        <w:t>If we fail to generate sufficient market acceptance of our product candidates, if approved, our ability to obtain an appropriate return on investment on such products will be impacted.</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Additionally, in order to attract new customers and incentivize existing customers to purchase more of our offerings, we plan to use social media, emails, text messages, celebrity influencers, and other marketing strategies, including DTC marketing strategies, to reach new and existing customers. In September 2025, the FDA stated that it intends to more aggressively enforce requirements for DTC drug advertising, as well as expand its oversight of digital and social media advertising. In connection with this announcement, the FDA sent more than 100 warnings or untitled letters to companies for allegedly deceptive prescription drug advertising, which represents a dramatic increase in FDA actions as compared to prior years. The administration has also announced plans to propose a rulemaking that would call for drug companies to disclose additional safety information in DTC broadcast advertisements. The nature and extent of changes to FDA regulations and enforcement approach is unclear but may impact pharmaceutical marketing efforts industry-wide, which could in turn impact our potential future sales and operations.</w:t>
      </w:r>
    </w:p>
    <w:p>
      <w:pPr>
        <w:spacing w:after="0" w:line="168"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b w:val="1"/>
          <w:bCs w:val="1"/>
          <w:i w:val="1"/>
          <w:iCs w:val="1"/>
          <w:color w:val="auto"/>
        </w:rPr>
        <w:t>The commercial opportunity for VDPHL01 and any of our other current or future product candidates we may develop may be smaller than we expect.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focused our development of VDPHL01 for the treatment of PHL. We base our commercial opportunity estimates on a variety of factors, including our estimates of the number of people who have experienced PHL and the number of those we expect would use VDPHL01, if approved, including those who currently do not treat their PHL, have discontinued use of past treatment for PHL or currently use other OTC products or off-label therapies. These estimates are based on many assumptions and may prove incorrect, and new studies or market research may reduce our estimated patient population and potential sales. The number of patients in the United States may turn out to be lower than expected or may not be otherwise amenable to treatment with VDPHL01. Further, while our regulatory strategy is to seek approval of VDPHL01 in male patients and female patients with PHL, we may only receive a more limited approval, which would impact our estimated commercial opportunity. If we are unable to advance VDPHL01, or any of our other current or future product candidates with attractive commercial opportunities or if our commercial opportunities are smaller than we expected, our future product revenues will be smaller than anticipated, which would adversely affect our business, financial condition, results of operations and prospects.</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total addressable commercial opportunity for VDPHL01 candidates will ultimately depend upon a number of factors, including the diagnosis and treatment criteria included in the final label, if approved for sale in specified indications, acceptance by the medical community, patient access and product pricing and, to the extent applicable,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our Annual Report on Form 10-K should be viewed with caution. Further, the data and statistical information used in our Annual Report on Form 10-K, including estimates derived from them, may differ from information and estimates made by our competitors or from current or future studies conducted by independent sources.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Our strategy of focusing on the cash-pay healthcare market for VDPHL01 may limit our ability to increase sales or achieve profitability</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strategy is to focus on the cash-pay healthcare market for VDPHL01, if approved. This focus may limit our ability to increase sales or achieve profitability. For example, to maintain our business model, we will not offer products or services available in the broader healthcare market that are reimbursed by third-party payors such as Medicare, Medicaid or commercial insurance. We believe pursuing cash-pay non-reimbursed product strategy allows for meaningful strategic advantages in the United States, including pricing and marketing flexibility and which we believe makes the market less sensitive to changes in insurance coverage and reimbursement. However, our business strategy was developed based on a number of important assumptions about the cash-pay healthcare market for VDPHL01. For example, we believe that the use of cash-pay for VDPHL01 will be attractive to patients as compared to traditional insurance models. Our expectations could be incorrect and sales of VDPHL01 or any of our current or future product candidates could differ materially from our projections. In addition, companies offering competitive products, whether they pursue a non-reimbursed product strategy or not, may nonetheless try to compete with VDPHL01 on price both directly through rebates, promotional programs and coupons and indirectly through attractive product bundling and customer loyalty programs. Further, changes in healthcare legislation and healthcare cost containment measures, as discussed in greater detail below, could impact the pricing of other products and procedures that compete with VDPHL01, which can indirectly impact our pricing strategy and profitability. If a competitor treatment is covered by third-party payors or has more favorable pricing for consumers, the pricing of VDPHL01 may be negatively impacted, which could have a material adverse effect on our ability to generate revenue and to attain profitability. Additionally, the out-of-pocket, cash-pay market for our patient population may be negatively impacted by other price increases and market conditions, including rising costs of other consumer goods, which patients may prioritize over any product candidates we may commercialize. Our business, financial results and future prospects will be materially harmed if we cannot generate sufficient consumer demand for VDPHL01, if approved.</w:t>
      </w:r>
    </w:p>
    <w:p>
      <w:pPr>
        <w:spacing w:after="0" w:line="17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i w:val="1"/>
          <w:iCs w:val="1"/>
          <w:color w:val="auto"/>
        </w:rPr>
        <w:t>If we fail to effectively maintain, promote, and enhance our reputation and VDPHL01 brand recognition in a cost-effective manner, our business and competitive advantage may be harmed.</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that maintaining and enhancing our reputation and brand recognition for VDPHL01 will be critical to our relationships with customers, physicians and other partners, and to our ability to attract new customers, physicians and other partners. The promotion of VDPHL01 will require us to make substantial investments.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physicians and other partners, would make it substantially more difficult for us to attract new customers, physicians and other partners. If we do not successfully maintain and enhance our reputation and brand recognition in a cost-effective manner, our business may not grow and we could lose our relationships with customers, physicians and other partners, which could harm our business, financial condition and results of operations.</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Our products rely on consumer discretionary spending and the purchasing decisions of our customers, both of which are sensitive to difficult to predict global economic conditions, including the imposition of tariffs, or changes in consumer or customer sentiment.</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do not expect VDPHL01, if approved, to be reimbursed by any government or third-party payor and therefore VDPHL01 will continue to be paid for directly by the consumer. As a result, demand for VDPHL01 will be tied to the discretionary spending levels of our targeted consumer population. Sales of VDPHL01, if approved, may depend on short-term purchasing decisions made by our customers in response to consumer demand, aesthetics trends, our competitor’s sales tactics, inventory management, seasonality, and other factors affecting consumer and customer purchasing behavior. As a result, it will be difficult to forecast demand for VDPHL01, if approved, and our revenues in a given period may be subject to volatility based on any of these factors.</w:t>
      </w:r>
    </w:p>
    <w:p>
      <w:pPr>
        <w:spacing w:after="0" w:line="16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Recent macroeconomic events, including inflationary pressures and threatened and imposed tariffs have negatively impacted consumer sentiment, resulted in decreased procedural volume for cash-pay medical aesthetics treatments, especially in the United States, and have impacted consumer purchasing behaviors. If these or similar conditions persist or worsen, our business, financial condition, and results of operations could be materially harmed.</w:t>
      </w:r>
    </w:p>
    <w:p>
      <w:pPr>
        <w:spacing w:after="0" w:line="200" w:lineRule="exact"/>
        <w:rPr>
          <w:sz w:val="20"/>
          <w:szCs w:val="20"/>
          <w:color w:val="auto"/>
        </w:rPr>
      </w:pPr>
    </w:p>
    <w:p>
      <w:pPr>
        <w:spacing w:after="0" w:line="39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3" w:name="page54"/>
    <w:bookmarkEnd w:id="53"/>
    <w:p>
      <w:pPr>
        <w:ind w:right="120"/>
        <w:spacing w:after="0" w:line="274" w:lineRule="auto"/>
        <w:rPr>
          <w:sz w:val="20"/>
          <w:szCs w:val="20"/>
          <w:color w:val="auto"/>
        </w:rPr>
      </w:pPr>
      <w:r>
        <w:rPr>
          <w:rFonts w:ascii="Arial" w:cs="Arial" w:eastAsia="Arial" w:hAnsi="Arial"/>
          <w:sz w:val="16"/>
          <w:szCs w:val="16"/>
          <w:b w:val="1"/>
          <w:bCs w:val="1"/>
          <w:i w:val="1"/>
          <w:iCs w:val="1"/>
          <w:color w:val="auto"/>
        </w:rPr>
        <w:t>Coverage and reimbursement by third-party payors may not be available or may be difficult to obtain for any product candidates for which we receive marketing approval. Failure to obtain or maintain coverage and adequate reimbursement for any such approved products could limit our ability to market those products and would decrease our ability to generate revenue.</w:t>
      </w:r>
    </w:p>
    <w:p>
      <w:pPr>
        <w:spacing w:after="0" w:line="111"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While our commercialization plan for VDPHL01 is currently focused solely on cash-pay sales to patients outside private health insurance and government healthcare programs, such as the Medicare and Medicaid programs, we may in the future seek coverage and reimbursement from third-party payors for VDPHL01 or other product candidates if approved for marketing.</w:t>
      </w:r>
    </w:p>
    <w:p>
      <w:pPr>
        <w:spacing w:after="0" w:line="16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cannot be sure that coverage will be available for any product that we commercialize and, if coverage is available, that the level of reimbursement will be adequate. Specifically, prescription drug products used for cosmetic purposes will generally not be covered by third-party payors because they are not considered medically necessary. And the availability of coverage and the adequacy of the reimbursement of prescription drugs used for medical purposes is uncertain. Without adequate coverage and reimbursement, commercial success for any such product may be adversely affected.</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Third-party payors may limit coverage or otherwise seek to control the utilization and cost of drug products. Third-party payors may limit coverage to specific products on an approved list, or formulary, which might not include all of the FDA-approved products for a particular indication. Some third-party payors may impose coverage restrictions through medical policies or manage utilization of a particular product by requiring pre-approval, known as “prior authorization,” for coverage of particular prescriptions, which allows the payor to assess medical necessity.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does not ensure that other payors will also provide coverage for the drug product or will provide coverage at an adequate reimbursement rate.</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Third-party payors are increasingly challenging the price and examining the cost-effectiveness of new products and services in addition to their safety and efficacy. Factors considered by these payors in determining whether to cover drug products and what reimbursement to provide include product efficacy, cost-effectiveness, and safety, as well as the availability of other treatments, including generic prescription drugs or OTC drugs. To obtain or maintain coverage and reimbursement for any approved drug product, we may need to collect real-world evidence and conduct pharmacoeconomic studies to demonstrate the medical necessity and cost-effectiveness of our product candidates, if approved. These studies will be in addition to the studies required to obtain or maintain regulatory approvals. If third-party payors do not consider a product to be cost-effective compared to other available therapies, they may not cover the product or, if they do, the level of payment may not be sufficient to allow sale of a product at a profit. Thus, obtaining and maintaining coverage and adequate reimbursement status is complex, costly, and uncertain.</w:t>
      </w:r>
    </w:p>
    <w:p>
      <w:pPr>
        <w:spacing w:after="0" w:line="172"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Federal and state initiatives to control healthcare costs, including measures to lower prescription drug pricing or reduce prescription reimbursement, may result in more restricted coverage and put additional downward pressure on pharmaceutical pricings, which could negatively impact coverage and reimbursement for our product candidates, if approved, our revenue, and our ability to compete with other marketed products and to recoup the costs of our research and development.</w:t>
      </w:r>
    </w:p>
    <w:p>
      <w:pPr>
        <w:spacing w:after="0" w:line="161"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We may be required to provide discounts or rebates under government healthcare programs or to certain government and private purchasers in order to obtain coverage under federal healthcare programs such as Medicare and Medicaid or to sell products to government purchasers. More generally, we may need to offer price concessions to third-party payors to obtain favorable coverage or to purchasers to achieve sales.</w:t>
      </w:r>
    </w:p>
    <w:p>
      <w:pPr>
        <w:spacing w:after="0" w:line="160"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We expect to experience coverage challenges and pricing pressures for any of our product candidates that may be approved and for which we seek coverage and reimbursement by third-party payors. Pricing pressures and healthcare reform efforts have become intense. As a result, increasingly high barriers are being erected to the entry of new products.</w:t>
      </w:r>
    </w:p>
    <w:p>
      <w:pPr>
        <w:spacing w:after="0" w:line="200" w:lineRule="exact"/>
        <w:rPr>
          <w:sz w:val="20"/>
          <w:szCs w:val="20"/>
          <w:color w:val="auto"/>
        </w:rPr>
      </w:pPr>
    </w:p>
    <w:p>
      <w:pPr>
        <w:spacing w:after="0" w:line="39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Risks Related to Our Business Operations, Employee Matters and Managing Growth</w:t>
      </w:r>
    </w:p>
    <w:p>
      <w:pPr>
        <w:spacing w:after="0" w:line="10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We are dependent on the services of our senior management and other key personnel, and if we are not able to retain these individuals or recruit additional management or key personnel, our business will suffer.</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other key personnel. We are highly dependent upon our co-founders, Chief Executive Officer, Reid Waldman, M.D., and President, Tim Durso, M.D., as well as our Chief Financial Officer, Dominic Carrano, CPA, our Chief Commercial and Strategy Officer, Mark Neumann,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certain members of our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must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biopharmaceutical, biotechnology and other businesses, particularly in the greater New England area. If we are not able to attract, integrate, retain and motivate personnel necessary to accomplish our business objectives, we may experience constraints that significantly impede the achievement of our commercial and development objectives, our ability to raise additional capital and our ability to implement our business strategy.</w:t>
      </w:r>
    </w:p>
    <w:p>
      <w:pPr>
        <w:spacing w:after="0" w:line="172"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i w:val="1"/>
          <w:iCs w:val="1"/>
          <w:color w:val="auto"/>
        </w:rPr>
        <w:t>We will need to grow our organization, and we may experience difficulties in managing our growth and expanding our operations, which could adversely affect our business.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March 31, 2026, we had 24 full-time employees. We expect to experience significant growth in the number of our employees and the scope of our operations, particularly in the areas of regulatory affairs and sales, marketing and distribution, as well as to support our public company operations.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management may need to devote a significant amount of our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in particular in connection with the potential commercial launch of VDPHL01, if approved, will also require significant capital expenditures and may divert financial resources from other product candidates or business initiatives. If we are unable to effectively manage our expected growth, our expenses may increase more than expected, our ability to generate revenues could be reduced and we may not be able to implement our business strategy, including the successful commercialization of VDPHL01 or any other current or future product candidates,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55" w:name="page56"/>
    <w:bookmarkEnd w:id="55"/>
    <w:p>
      <w:pPr>
        <w:ind w:right="100"/>
        <w:spacing w:after="0" w:line="298" w:lineRule="auto"/>
        <w:rPr>
          <w:sz w:val="20"/>
          <w:szCs w:val="20"/>
          <w:color w:val="auto"/>
        </w:rPr>
      </w:pPr>
      <w:r>
        <w:rPr>
          <w:rFonts w:ascii="Arial" w:cs="Arial" w:eastAsia="Arial" w:hAnsi="Arial"/>
          <w:sz w:val="16"/>
          <w:szCs w:val="16"/>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187" w:lineRule="exact"/>
        <w:rPr>
          <w:sz w:val="20"/>
          <w:szCs w:val="20"/>
          <w:color w:val="auto"/>
        </w:rPr>
      </w:pPr>
    </w:p>
    <w:p>
      <w:pPr>
        <w:ind w:right="360"/>
        <w:spacing w:after="0" w:line="274"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9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or, collectively, sensitive data.</w:t>
      </w:r>
    </w:p>
    <w:p>
      <w:pPr>
        <w:spacing w:after="0" w:line="16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We and the third parties with whom we work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rogue personnel (such as through theft or misuse), sophisticated nation states, and nation-state-supported actors.</w:t>
      </w:r>
    </w:p>
    <w:p>
      <w:pPr>
        <w:spacing w:after="0" w:line="166"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which could materially disrupt our systems and operations, supply chain, and ability to produce, sell and distribute our services.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attacks enhanced or facilitated by AI, software bugs, server malfunctions, software or hardware failures, loss of data or other information technology assets, adware, telecommunications failures, earthquakes, fires, floods, and other similar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40"/>
        <w:spacing w:after="0" w:line="273" w:lineRule="auto"/>
        <w:rPr>
          <w:sz w:val="20"/>
          <w:szCs w:val="20"/>
          <w:color w:val="auto"/>
        </w:rPr>
      </w:pPr>
      <w:r>
        <w:rPr>
          <w:rFonts w:ascii="Arial" w:cs="Arial" w:eastAsia="Arial" w:hAnsi="Arial"/>
          <w:sz w:val="16"/>
          <w:szCs w:val="16"/>
          <w:color w:val="auto"/>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35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Remote work has increased risks to our information technology systems and data, as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36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information technology, data hosting, data center facilities, encryption and authentication technology, employee email, content delivery to customers, and other functions.</w:t>
      </w:r>
    </w:p>
    <w:p>
      <w:pPr>
        <w:spacing w:after="0" w:line="1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ability to monitor these third parties’ information security practices is limited, and these third parties may not have adequate information security measures in place. If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2"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with whom we work) to provide our services.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may expend significant resources or modify our business activities (including clinical trials)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70"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designed to detect, mitigate and remediate vulnerabilities in our information systems, but we may not be able to detect and remediate all vulnerabilities including in a timely manner. Further, we may experience delays in developing and deploying remedial measures designed to address any such identified vulnerabilities. Vulnerabilities could be exploited and result in a security incident.</w:t>
      </w:r>
    </w:p>
    <w:p>
      <w:pPr>
        <w:spacing w:after="0" w:line="16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Applicable data privacy and security obligations may require us to notify data subjects, customers, partners, regulators and the media relevant stakeholders of security incidents. Such disclosures are costly, and the disclosure or the failure to comply with such requirements could lead to adverse consequences.</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7" w:name="page58"/>
    <w:bookmarkEnd w:id="57"/>
    <w:p>
      <w:pPr>
        <w:ind w:right="20"/>
        <w:spacing w:after="0" w:line="26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coverages (if any)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our employees’, personnels’, or vendors’ use of generative artificial intelligence, or AI, technologies.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9"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b w:val="1"/>
          <w:bCs w:val="1"/>
          <w:i w:val="1"/>
          <w:iCs w:val="1"/>
          <w:color w:val="auto"/>
        </w:rPr>
        <w:t>Our commercial success depends on our ability to obtain and maintain sufficient intellectual property protection for VDPHL01 and our other current and any future product candidates and other proprietary technologies.</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Our commercial success will depend, in part, on our ability to obtain and maintain patent protection in the United States and other countries with respect to VDPHL01 and our other current and any future product candidates. If we are unable to obtain or maintain patent protection with respect to VDPHL01 or any of our other current or any future product candidates and their uses, our business, financial condition, results of operations and prospects could be materially harmed.</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generally seek to protect our proprietary position by filing patents or patent applications in the United States and abroad related to VDPHL01 and our other current and any future product candidates that are important to our business, as appropriate. Our pending and future patent applications cannot be enforced against third parties practicing the technology claimed in such applications unless, and until, patents issue from such applications, and then only to the extent the issued claims cover the technology. Our patent applications may not result in patents being issued and issued patents may not afford sufficient protection against competitors with similar technology. Furthermore any issued patents may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 failure to obtain meaningful protection from the intellectual property rights relating to our product candidates could have a material adverse effect on our financial condition and results of operations.</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patent application process is subject to numerous risks and uncertainties, and we or any of our potential future collaborators may not be successful in protecting our product candidates by obtaining and defending patents. Obtaining and enforcing patents is expensive and time consuming, and we may not be able to file and prosecute all necessary or desirable patent applications, or maintain and/or enforce patents that may issue based on our patent applications, at a reasonable cost or in a timely manner. We may fail to identify patentable aspects of our research and development results before it is too late to obtain patent protection.</w:t>
      </w:r>
    </w:p>
    <w:p>
      <w:pPr>
        <w:spacing w:after="0" w:line="16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Although we enter into non-disclosure and confidentiality agreements with parties who have access to patentable aspects of our research and development output, such as our employees, corporate collaborators, outside scientific collaborators, CROs, CMOs, consultants, independent contractors, advisors and other third parties, any of these parties may breach these agreements and disclose such results before a patent application is filed, thereby jeopardizing our ability to seek adequate patent protection.</w:t>
      </w:r>
    </w:p>
    <w:p>
      <w:pPr>
        <w:spacing w:after="0" w:line="163" w:lineRule="exact"/>
        <w:rPr>
          <w:sz w:val="20"/>
          <w:szCs w:val="20"/>
          <w:color w:val="auto"/>
        </w:rPr>
      </w:pPr>
    </w:p>
    <w:p>
      <w:pPr>
        <w:ind w:right="540"/>
        <w:spacing w:after="0" w:line="298" w:lineRule="auto"/>
        <w:rPr>
          <w:sz w:val="20"/>
          <w:szCs w:val="20"/>
          <w:color w:val="auto"/>
        </w:rPr>
      </w:pPr>
      <w:r>
        <w:rPr>
          <w:rFonts w:ascii="Arial" w:cs="Arial" w:eastAsia="Arial" w:hAnsi="Arial"/>
          <w:sz w:val="16"/>
          <w:szCs w:val="16"/>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9"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patent position of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laws of foreign countries may not protect our rights to the same extent as the laws of the United States, or vice versa.</w:t>
      </w:r>
    </w:p>
    <w:p>
      <w:pPr>
        <w:spacing w:after="0" w:line="200" w:lineRule="exact"/>
        <w:rPr>
          <w:sz w:val="20"/>
          <w:szCs w:val="20"/>
          <w:color w:val="auto"/>
        </w:rPr>
      </w:pP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8" w:name="page59"/>
    <w:bookmarkEnd w:id="58"/>
    <w:p>
      <w:pPr>
        <w:ind w:right="60"/>
        <w:spacing w:after="0" w:line="257" w:lineRule="auto"/>
        <w:rPr>
          <w:sz w:val="20"/>
          <w:szCs w:val="20"/>
          <w:color w:val="auto"/>
        </w:rPr>
      </w:pPr>
      <w:r>
        <w:rPr>
          <w:rFonts w:ascii="Arial" w:cs="Arial" w:eastAsia="Arial" w:hAnsi="Arial"/>
          <w:sz w:val="16"/>
          <w:szCs w:val="16"/>
          <w:color w:val="auto"/>
        </w:rPr>
        <w:t>Further, we may not be aware of all third-party intellectual property rights potentially relating to our research programs and product candidates, or their intended uses, and as a result the potential impact of such third-party intellectual property rights upon the patentability of our own patents and patent applications, as well as the potential impact of such third-party intellectual property upon our freedom to operate, is highly uncertain.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any product candidates or technologies.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may be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As a result, the issuance, scope, validity, enforceability, and commercial value of our patent rights are highly uncertain.</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patents or pending patent applications, or the patents or pending patent applications that we license, may be challenged in the courts or patent offices in the United States and foreign jurisdictions. The legal threshold for initiating such proceedings may be low, so that even proceedings with a low probability of success might be initiated. An adverse determination in any such challenge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66"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candidates, and our patents or other intellectual property rights may not be effective or sufficient to prevent them from competing.</w:t>
      </w:r>
    </w:p>
    <w:p>
      <w:pPr>
        <w:spacing w:after="0" w:line="18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success depends on a market that is observant of intellectual property rights and regulatory requirements. Developments that undermine that landscape can significantly impact our business and reputation. For example, inadequately regulated sales of unapproved compounded versions of our product candidates or approved products could materially impact our business by exposing patients to significant risk, diverting sales of any approved products and harming our reputation. Our actions intended to stop or prevent illegal sales of such medicines also may be costly or ineffective.</w:t>
      </w:r>
    </w:p>
    <w:p>
      <w:pPr>
        <w:spacing w:after="0" w:line="200" w:lineRule="exact"/>
        <w:rPr>
          <w:sz w:val="20"/>
          <w:szCs w:val="20"/>
          <w:color w:val="auto"/>
        </w:rPr>
      </w:pPr>
    </w:p>
    <w:p>
      <w:pPr>
        <w:spacing w:after="0" w:line="39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59" w:name="page60"/>
    <w:bookmarkEnd w:id="59"/>
    <w:p>
      <w:pPr>
        <w:ind w:right="20"/>
        <w:spacing w:after="0" w:line="261" w:lineRule="auto"/>
        <w:rPr>
          <w:sz w:val="20"/>
          <w:szCs w:val="20"/>
          <w:color w:val="auto"/>
        </w:rPr>
      </w:pPr>
      <w:r>
        <w:rPr>
          <w:rFonts w:ascii="Arial" w:cs="Arial" w:eastAsia="Arial" w:hAnsi="Arial"/>
          <w:sz w:val="16"/>
          <w:szCs w:val="16"/>
          <w:color w:val="auto"/>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Further, the standards applied by the U.S. Patent and Trademark Office, or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time-consuming, expensive and unpredictable.</w:t>
      </w:r>
    </w:p>
    <w:p>
      <w:pPr>
        <w:spacing w:after="0" w:line="16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or those of any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As a result, our competitive position may be impaired, and our business, financial condition, results of operations, and prospects may be adversely affected.</w:t>
      </w:r>
    </w:p>
    <w:p>
      <w:pPr>
        <w:spacing w:after="0" w:line="17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all of which could adversely affect our business, financial condition, results of operations and prospects. Patent reform legislation in the United States, including the Leahy-Smith America Invents Act, or the Leahy-Smith Act, signed into law on September 16, 2011, redefined prior art and provided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Further, because of a lower evidentiary standard in these USPTO post-grant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0" w:name="page61"/>
    <w:bookmarkEnd w:id="60"/>
    <w:p>
      <w:pPr>
        <w:spacing w:after="0" w:line="257" w:lineRule="auto"/>
        <w:rPr>
          <w:sz w:val="20"/>
          <w:szCs w:val="20"/>
          <w:color w:val="auto"/>
        </w:rPr>
      </w:pPr>
      <w:r>
        <w:rPr>
          <w:rFonts w:ascii="Arial" w:cs="Arial" w:eastAsia="Arial" w:hAnsi="Arial"/>
          <w:sz w:val="16"/>
          <w:szCs w:val="16"/>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or (ii)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7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addition, the patent positions of companies in the development and commercialization of pharmaceuticals are particularly uncertain. 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products and enforce our intellectual property rights. Subsequent rulings could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Amgen v. Sanofi, held that broad functional antibody claims are invalid for lack of enablement.</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existing patents and patents that we might obtain in the future.</w:t>
      </w:r>
    </w:p>
    <w:p>
      <w:pPr>
        <w:spacing w:after="0" w:line="15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2012, the European Union Patent Package, or the EU Patent Package, regulations were passed with the goal of providing a single pan-European Unitary Patent and a new European Unified Patent Court, or the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European patents from the UPC, but doing so may preclude us from realizing the benefits of the UPC. Moreover, if we do not meet all of the formalities and requirements for opt out under the UPC, said European patents could remain under the jurisdiction of the UPC. The UPC will provide our competitors with a new forum to centrally revoke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1" w:name="page62"/>
    <w:bookmarkEnd w:id="61"/>
    <w:p>
      <w:pPr>
        <w:ind w:right="260"/>
        <w:spacing w:after="0" w:line="274"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 patent applications. The USPTO and various non-U.S. government patent agencies require compliance with several procedural, documentary, fee payment and other similar provisions during the patent application process. We may, in some cases, be dependent on our licensors to take the necessary action to comply with these requirements with respect to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products or product candidates for an adequate amount of time.</w:t>
      </w:r>
    </w:p>
    <w:p>
      <w:pPr>
        <w:spacing w:after="0" w:line="16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spacing w:after="0" w:line="182"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b w:val="1"/>
          <w:bCs w:val="1"/>
          <w:i w:val="1"/>
          <w:iCs w:val="1"/>
          <w:color w:val="auto"/>
        </w:rPr>
        <w:t>Patent rights relating to inventions described and claimed in our pending patent applications may not issue and patents based on our patent applications may be challenged and rendered invalid and/or unenforceable.</w:t>
      </w:r>
    </w:p>
    <w:p>
      <w:pPr>
        <w:spacing w:after="0" w:line="7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own patents and patent applications in our portfolio relating to VDPHL01 that are pending at the patent offices in the United States, Europe, Japan, and other foreign jurisdictions, however, we cannot predict:</w:t>
      </w:r>
    </w:p>
    <w:p>
      <w:pPr>
        <w:spacing w:after="0" w:line="80" w:lineRule="exact"/>
        <w:rPr>
          <w:sz w:val="20"/>
          <w:szCs w:val="20"/>
          <w:color w:val="auto"/>
        </w:rPr>
      </w:pPr>
    </w:p>
    <w:p>
      <w:pPr>
        <w:ind w:left="300" w:hanging="298"/>
        <w:spacing w:after="0"/>
        <w:tabs>
          <w:tab w:leader="none" w:pos="300"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if and when patents may issue based on our patent applications;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the scope of protection of any patent issuing based on our patent applications;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whether the claims of any patent issuing based on our patent applications will provide protection against competitors;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whether or not third parties will find ways to invalidate or circumvent our patent rights;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whether or not others will obtain patents claiming aspects similar to those covered by our patent applications;</w:t>
      </w:r>
    </w:p>
    <w:p>
      <w:pPr>
        <w:spacing w:after="0" w:line="46" w:lineRule="exact"/>
        <w:rPr>
          <w:rFonts w:ascii="Wingdings" w:cs="Wingdings" w:eastAsia="Wingdings" w:hAnsi="Wingdings"/>
          <w:sz w:val="12"/>
          <w:szCs w:val="12"/>
          <w:b w:val="1"/>
          <w:bCs w:val="1"/>
          <w:color w:val="auto"/>
        </w:rPr>
      </w:pPr>
    </w:p>
    <w:p>
      <w:pPr>
        <w:ind w:left="300" w:right="140" w:hanging="298"/>
        <w:spacing w:after="0" w:line="275" w:lineRule="auto"/>
        <w:tabs>
          <w:tab w:leader="none" w:pos="299"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whether we will need to initiate litigation or administrative proceedings to enforce and/or defend our patent rights which will be costly whether we win or lose;</w:t>
      </w:r>
    </w:p>
    <w:p>
      <w:pPr>
        <w:ind w:left="300" w:right="760" w:hanging="298"/>
        <w:spacing w:after="0" w:line="275" w:lineRule="auto"/>
        <w:tabs>
          <w:tab w:leader="none" w:pos="299"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whether our patent applications will result in issued patents with claims that cover VDPHL01 or any of our other current and any future product candidates or uses thereof; and/or</w:t>
      </w:r>
    </w:p>
    <w:p>
      <w:pPr>
        <w:ind w:left="300" w:hanging="298"/>
        <w:spacing w:after="0"/>
        <w:tabs>
          <w:tab w:leader="none" w:pos="300" w:val="left"/>
        </w:tabs>
        <w:numPr>
          <w:ilvl w:val="0"/>
          <w:numId w:val="37"/>
        </w:numPr>
        <w:rPr>
          <w:rFonts w:ascii="Wingdings" w:cs="Wingdings" w:eastAsia="Wingdings" w:hAnsi="Wingdings"/>
          <w:sz w:val="12"/>
          <w:szCs w:val="12"/>
          <w:b w:val="1"/>
          <w:bCs w:val="1"/>
          <w:color w:val="auto"/>
        </w:rPr>
      </w:pPr>
      <w:r>
        <w:rPr>
          <w:rFonts w:ascii="Arial" w:cs="Arial" w:eastAsia="Arial" w:hAnsi="Arial"/>
          <w:sz w:val="16"/>
          <w:szCs w:val="16"/>
          <w:color w:val="auto"/>
        </w:rPr>
        <w:t>whether we may experience patent office interruption or delays to our ability to timely secure patent coverage to our product candidates.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line="256" w:lineRule="auto"/>
        <w:rPr>
          <w:sz w:val="20"/>
          <w:szCs w:val="20"/>
          <w:color w:val="auto"/>
        </w:rPr>
      </w:pPr>
      <w:r>
        <w:rPr>
          <w:rFonts w:ascii="Arial" w:cs="Arial" w:eastAsia="Arial" w:hAnsi="Arial"/>
          <w:sz w:val="16"/>
          <w:szCs w:val="16"/>
          <w:color w:val="auto"/>
        </w:rPr>
        <w:t>We cannot be certain that the claims in our pending patent applications directed to VDPHL01 or any of our other current and any future product candidates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relevant to our business, or prior art of which we are aware, but which we do not believe is relevant to our business, which may, nonetheless, ultimately be found to limit our ability to make, use, sell, offer for sale or import our products that may be approved in the future, or impair our competitive position. Minoxidil, the ingredient in VDPHL01, was previously known, and thus our patents and patent applications are not to this ingredient itself as a chemical compound, but rather, to other aspects of VDPHL01, including its formulation and dosage form. Even if the patents do issue based on the patent applications we own, co-own or exclusively license,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87"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b w:val="1"/>
          <w:bCs w:val="1"/>
          <w:i w:val="1"/>
          <w:iCs w:val="1"/>
          <w:color w:val="auto"/>
        </w:rPr>
        <w:t>Issued patents covering our product candidates, or the method of use of our product candidates, could be found invalid or unenforceable if challenged in court or before administrative bodies in the United States or abroad.</w:t>
      </w:r>
    </w:p>
    <w:p>
      <w:pPr>
        <w:spacing w:after="0" w:line="7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After initiation of legal proceedings against a third party to enforce a patent covering a our product candidates or other proprietary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In addition to such counterclaims, third parties may raise claims challenging the validity or enforceability of a patent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 Such proceedings could result in the revocation of, cancellation of, or amendment to our patent rights in such a way that they no longer cover our product candidates, therapeutic programs, and other proprietary technologies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provided to our product candidates, proprietary technologies, or other components of our therapeutic programs, as applicable. Even if a third party does not prevail on a legal assertion of invalidity or unenforceability, our patent claims may be construed in a manner that would limit our ability to enforce such claims against the defendant and others. Such a loss of patent protection could have a material adverse impact on our business, financial condition, results of operations, and prospects.</w:t>
      </w:r>
    </w:p>
    <w:p>
      <w:pPr>
        <w:spacing w:after="0" w:line="17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adversely affect our ability to develop and market VDPHL01 or any of our other current and any future product candidates.</w:t>
      </w:r>
    </w:p>
    <w:p>
      <w:pPr>
        <w:spacing w:after="0" w:line="7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As the biopharmaceutical industry expands and more patents are issued, the risk increases that our product candidates may be subject to claims of infringement of the patent rights of third parties. Our operations may, or may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our operations or necessary for the commercialization of our product candidates in any jurisdiction.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3" w:name="page64"/>
    <w:bookmarkEnd w:id="63"/>
    <w:p>
      <w:pPr>
        <w:spacing w:after="0" w:line="257" w:lineRule="auto"/>
        <w:rPr>
          <w:sz w:val="20"/>
          <w:szCs w:val="20"/>
          <w:color w:val="auto"/>
        </w:rPr>
      </w:pPr>
      <w:r>
        <w:rPr>
          <w:rFonts w:ascii="Arial" w:cs="Arial" w:eastAsia="Arial" w:hAnsi="Arial"/>
          <w:sz w:val="16"/>
          <w:szCs w:val="16"/>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VDPHL01 or any of our other current and any future product candidates.</w:t>
      </w:r>
    </w:p>
    <w:p>
      <w:pPr>
        <w:spacing w:after="0" w:line="17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VDPHL01 or any of our other current and any future product candidates.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VDPHL01 or any of our other current and any future product candidates. Our failure to identify and correctly interpret relevant patents may negatively impact our ability to develop and market VDPHL01 or any of our other current and any future product candidates.</w:t>
      </w:r>
    </w:p>
    <w:p>
      <w:pPr>
        <w:spacing w:after="0" w:line="180"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Third-party patents may exist that might be enforced against our current technology, including our research programs, product candidates, their respective methods of use, and manufacture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16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and could prevent or delay us from developing or commercializing VDPHL01 or any of our other current and any future product candidates.</w:t>
      </w:r>
    </w:p>
    <w:p>
      <w:pPr>
        <w:spacing w:after="0" w:line="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commercial success depends, in part, on our ability to develop, manufacture, market and sell VDPHL01 or any of our other current and any future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4" w:name="page65"/>
    <w:bookmarkEnd w:id="64"/>
    <w:p>
      <w:pPr>
        <w:spacing w:after="0" w:line="258" w:lineRule="auto"/>
        <w:rPr>
          <w:sz w:val="20"/>
          <w:szCs w:val="20"/>
          <w:color w:val="auto"/>
        </w:rPr>
      </w:pPr>
      <w:r>
        <w:rPr>
          <w:rFonts w:ascii="Arial" w:cs="Arial" w:eastAsia="Arial" w:hAnsi="Arial"/>
          <w:sz w:val="16"/>
          <w:szCs w:val="16"/>
          <w:color w:val="auto"/>
        </w:rPr>
        <w:t>There is a substantial amount of intellectual property litigation in the biopharmaceutical industry, and we may become party to, or threatened with, litigation or other adversarial proceedings regarding intellectual property rights with respect to VDPHL01 or any of our other current and any future product candidates. Third parties may assert infringement claims against us based on existing or future intellectual property rights. The biopharmaceutical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or of use either do not infringe the patent claims of the relevant patent or that the patent claims are invalid or unenforceable, and we may not be able to do this. Proving invalidity of third-party patents may be difficult and uncertain. Even if we are successful in these proceedings, we may incur substantial costs and the time and attention of our management and scientific personnel could be diverted in defending our rights in these proceedings, which could have a material adverse effect on our business and operations. In addition, we may not have sufficient resources to bring these actions to a successful conclusion.</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74" w:lineRule="exact"/>
        <w:rPr>
          <w:sz w:val="20"/>
          <w:szCs w:val="20"/>
          <w:color w:val="auto"/>
        </w:rPr>
      </w:pPr>
    </w:p>
    <w:p>
      <w:pPr>
        <w:ind w:right="260"/>
        <w:spacing w:after="0" w:line="315" w:lineRule="auto"/>
        <w:rPr>
          <w:sz w:val="20"/>
          <w:szCs w:val="20"/>
          <w:color w:val="auto"/>
        </w:rPr>
      </w:pPr>
      <w:r>
        <w:rPr>
          <w:rFonts w:ascii="Arial" w:cs="Arial" w:eastAsia="Arial" w:hAnsi="Arial"/>
          <w:sz w:val="16"/>
          <w:szCs w:val="16"/>
          <w:b w:val="1"/>
          <w:bCs w:val="1"/>
          <w:i w:val="1"/>
          <w:iCs w:val="1"/>
          <w:color w:val="auto"/>
        </w:rPr>
        <w:t>We may be involved in lawsuits to protect or enforce our patents or other intellectual property, which could be expensive, time-consuming and unsuccessful.</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a safe harbor to patent infringement.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5" w:name="page66"/>
    <w:bookmarkEnd w:id="65"/>
    <w:p>
      <w:pPr>
        <w:ind w:right="40"/>
        <w:spacing w:after="0" w:line="258"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7" w:lineRule="exact"/>
        <w:rPr>
          <w:sz w:val="20"/>
          <w:szCs w:val="20"/>
          <w:color w:val="auto"/>
        </w:rPr>
      </w:pPr>
    </w:p>
    <w:p>
      <w:pPr>
        <w:ind w:right="740"/>
        <w:spacing w:after="0" w:line="298" w:lineRule="auto"/>
        <w:rPr>
          <w:sz w:val="20"/>
          <w:szCs w:val="20"/>
          <w:color w:val="auto"/>
        </w:rPr>
      </w:pPr>
      <w:r>
        <w:rPr>
          <w:rFonts w:ascii="Arial" w:cs="Arial" w:eastAsia="Arial" w:hAnsi="Arial"/>
          <w:sz w:val="16"/>
          <w:szCs w:val="16"/>
          <w:b w:val="1"/>
          <w:bCs w:val="1"/>
          <w:i w:val="1"/>
          <w:iCs w:val="1"/>
          <w:color w:val="auto"/>
        </w:rPr>
        <w:t>VDPHL01, or any of our other current or future product candidates, may face competition sooner than expected, and our patents may be challenged.</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success will depend in part on our ability to obtain and maintain patent protection for VDPHL01 and our other current and any future product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patent applications we have filed or may file in the future may never yield patents that protect our inventions and intellectual property assets. Failure to obtain patents that sufficiently cover our formulations and technologies would limit our protection against generic drug manufacturers, pharmaceutical companies and other parties who may seek to copy our products, produce substantially similar products or use technologies substantially similar to those we own, co-own, or exclusively license.</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the United States, when an NDA is approved under Section 505(b)(2), such NDA may be eligible for a period of non-patent exclusivity. When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generally must show that its product has the same active ingredient(s), dosage form, strength, route of administration, and adequate labeling as the reference listed drug and that the generic version is bioequivalent to the reference listed drug, meaning, in part, that it is absorbed in the body at the same rate and to the same extent. Generic products may be significantly less costly to bring to market than the reference listed drug and companies that produce generic products are generally able to offer them at lower prices. Moreover, third-party insurers require, and many states allow or require, substitution of therapeutically equivalent generic drugs at the pharmacy level even if the branded drug is prescribed. Thus, following the introduction of a generic drug, a significant percentage of the sales of any branded product or reference listed drug may be lost to the generic product.</w:t>
      </w:r>
    </w:p>
    <w:p>
      <w:pPr>
        <w:spacing w:after="0" w:line="173"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FDA may not finally approve an ANDA for a generic product or a Section 505(b)(2) NDA of a competitor until any applicable period of non-patent exclusivity for the reference listed drug has expired. The FDCA provides a period of three years of non-patent exclusivity for a drug product that contains an active moiety that has been previously approved by FDA, when the application contains reports of new clinical investigations conducted or sponsored by the sponsor that were essential to the application. For example, the changes in an approved drug product that affect its active ingredient(s), strength, dosage form, route of administration or conditions of use may be granted exclusivity if clinical investigations were essential to approval of the application containing those changes. In such an instance, FDA may not for a period of three years after the date of approval of the NDA approve another 505(b)(2) application or an ANDA for the conditions of approval of the NDA, or an ANDA submitted pursuant to an approved petition under that relies on the information supporting the conditions of approval of an original NDA. While VDPHL01 does not qualify for the five-year non-patent exclusivity provision under Section 505(b)(2), VDPHL01 may qualify for three years of non-patent exclusivity; if FDA does not grant VDPHL01 or other product candidates appropriate periods of non-patent exclusivity before approving generic versions of such products, the sales of such products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We may become subject to claims challenging the inventorship or ownership of our or our licensors’ patents and other intellectual property.</w:t>
      </w:r>
    </w:p>
    <w:p>
      <w:pPr>
        <w:spacing w:after="0" w:line="16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7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38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candidates.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171"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These risks are heightened due to our reliance on third parties, including third party CROs and CMOs, for certain aspects of our business. The activities conducted by our third party vendors require us to share our trade secrets with them, which increases the possibility that a competitor will discover them or that our trade secrets will be misappropriated or disclosed.</w:t>
      </w:r>
    </w:p>
    <w:p>
      <w:pPr>
        <w:spacing w:after="0" w:line="15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7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If we fail to comply with our obligations under our intellectual property licenses with third parties, we could lose license rights that are important to our business.</w:t>
      </w:r>
    </w:p>
    <w:p>
      <w:pPr>
        <w:spacing w:after="0" w:line="9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License agreements that we currently or in the future are party to impose and may impose various obligations on us. If we fail to comply with our obligations under our licenses, the licensors may have the right to terminate their respective license agreements, in which event we might not be able to market any product that is covered by the agreements. Termination of our license agreements or reduction or elimination of our licensed rights may result in our having to negotiate new or reinstated licenses with less favorable terms, which could adversely affect our business, financial condition, results of operations and prospects. Moreover, license agreements may be complex and subject to interpretation, and there may be disputes between us and our licensors about the scope or interpretation of the license agreement. Disputes related to license agreement could be distracting, time consuming and, if determined adversely,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line="298" w:lineRule="auto"/>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third party patents for our product candidates through acquisitions and in-licenses.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growth of our business may depend in part on our ability to acquire, in-license, or use third-party intellectual property and proprietary rights. Other pharmaceutical companies and academic institutions may own patents or may have filed, or be planning to file, patent applications potentially relevant to our business. In order to avoid infringing such patent rights, we may find it necessary or prudent to obtain licenses to such patent rights from such third parties. For example, we may be required by the FDA or comparable foreign regulatory authorities to provide a specific companion diagnostic test or tests with our product candidates, any of which could require us to obtain rights to use patents or know-how owned or controlled by third parties. In addition, with respect to any patent or other intellectual property rights we may co-own with third parties in the future, we may require licenses to such co-owners’ interest to such patent or other intellectual property rights.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37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related to the products or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line="274" w:lineRule="auto"/>
        <w:rPr>
          <w:sz w:val="20"/>
          <w:szCs w:val="20"/>
          <w:color w:val="auto"/>
        </w:rPr>
      </w:pPr>
      <w:r>
        <w:rPr>
          <w:rFonts w:ascii="Arial" w:cs="Arial" w:eastAsia="Arial" w:hAnsi="Arial"/>
          <w:sz w:val="16"/>
          <w:szCs w:val="16"/>
          <w:b w:val="1"/>
          <w:bCs w:val="1"/>
          <w:i w:val="1"/>
          <w:iCs w:val="1"/>
          <w:color w:val="auto"/>
        </w:rPr>
        <w:t>Certain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Certain intellectual property rights we have or may license have been generated through the use of U.S. government funding and may therefore be subject to certain federal laws and regulations. As a result, the U.S. government may have certain rights to intellectual property embodied in our current or future product candidates pursuant to the Bayh-Dole Act of 1980, or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which are commonly referred to as “march-in rights.” The U.S. government also has the right to take title to these inventions if the applicable licensor fails to disclose the invention to the government and fails to file an application to register the intellectual property within specified time limits. Intellectual property generated under a government funded program is also subject to certain reporting requirements, compliance with which may require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adversely affect our competitive position,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160"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0" w:lineRule="exact"/>
        <w:rPr>
          <w:sz w:val="20"/>
          <w:szCs w:val="20"/>
          <w:color w:val="auto"/>
        </w:rPr>
      </w:pPr>
    </w:p>
    <w:p>
      <w:pPr>
        <w:ind w:left="300" w:hanging="298"/>
        <w:spacing w:after="0"/>
        <w:tabs>
          <w:tab w:leader="none" w:pos="300"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others may be able to make product candidates that are similar to ours but that are not covered by our patents;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we or our licensors or future collaborators might not have been the first to make the inventions covered by our patents or pending patent application;</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we or our licensors or future collaborators might not have been the first to file patent applications covering certain inventions;</w:t>
      </w:r>
    </w:p>
    <w:p>
      <w:pPr>
        <w:spacing w:after="0" w:line="46" w:lineRule="exact"/>
        <w:rPr>
          <w:rFonts w:ascii="Wingdings" w:cs="Wingdings" w:eastAsia="Wingdings" w:hAnsi="Wingdings"/>
          <w:sz w:val="12"/>
          <w:szCs w:val="12"/>
          <w:b w:val="1"/>
          <w:bCs w:val="1"/>
          <w:color w:val="auto"/>
        </w:rPr>
      </w:pPr>
    </w:p>
    <w:p>
      <w:pPr>
        <w:ind w:left="300" w:right="300" w:hanging="298"/>
        <w:spacing w:after="0" w:line="275" w:lineRule="auto"/>
        <w:tabs>
          <w:tab w:leader="none" w:pos="299"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others may independently develop similar or alternative technologies or duplicate any of our technologies without infringing or otherwise violating our intellectual property rights;</w:t>
      </w:r>
    </w:p>
    <w:p>
      <w:pPr>
        <w:ind w:left="300" w:right="120" w:hanging="298"/>
        <w:spacing w:after="0" w:line="267" w:lineRule="auto"/>
        <w:tabs>
          <w:tab w:leader="none" w:pos="299"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ind w:left="300" w:hanging="298"/>
        <w:spacing w:after="0"/>
        <w:tabs>
          <w:tab w:leader="none" w:pos="300"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it is possible that our pending patent applications will not lead to issued patents;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issued patents may be revoked, modified, or held invalid or unenforceable, as a result of legal challenges by our competitors;</w:t>
      </w:r>
    </w:p>
    <w:p>
      <w:pPr>
        <w:spacing w:after="0" w:line="33" w:lineRule="exact"/>
        <w:rPr>
          <w:rFonts w:ascii="Wingdings" w:cs="Wingdings" w:eastAsia="Wingdings" w:hAnsi="Wingdings"/>
          <w:sz w:val="12"/>
          <w:szCs w:val="12"/>
          <w:b w:val="1"/>
          <w:bCs w:val="1"/>
          <w:color w:val="auto"/>
        </w:rPr>
      </w:pPr>
    </w:p>
    <w:p>
      <w:pPr>
        <w:ind w:left="300" w:hanging="298"/>
        <w:spacing w:after="0" w:line="275" w:lineRule="auto"/>
        <w:tabs>
          <w:tab w:leader="none" w:pos="299"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300" w:hanging="298"/>
        <w:spacing w:after="0"/>
        <w:tabs>
          <w:tab w:leader="none" w:pos="300"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we may not develop additional proprietary technologies that are patentable;</w:t>
      </w:r>
    </w:p>
    <w:p>
      <w:pPr>
        <w:spacing w:after="0" w:line="46" w:lineRule="exact"/>
        <w:rPr>
          <w:rFonts w:ascii="Wingdings" w:cs="Wingdings" w:eastAsia="Wingdings" w:hAnsi="Wingdings"/>
          <w:sz w:val="12"/>
          <w:szCs w:val="12"/>
          <w:b w:val="1"/>
          <w:bCs w:val="1"/>
          <w:color w:val="auto"/>
        </w:rPr>
      </w:pPr>
    </w:p>
    <w:p>
      <w:pPr>
        <w:ind w:left="300" w:right="160" w:hanging="298"/>
        <w:spacing w:after="0" w:line="275" w:lineRule="auto"/>
        <w:tabs>
          <w:tab w:leader="none" w:pos="299"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ind w:left="300" w:right="120" w:hanging="298"/>
        <w:spacing w:after="0" w:line="307" w:lineRule="auto"/>
        <w:tabs>
          <w:tab w:leader="none" w:pos="299" w:val="left"/>
        </w:tabs>
        <w:numPr>
          <w:ilvl w:val="0"/>
          <w:numId w:val="38"/>
        </w:numPr>
        <w:rPr>
          <w:rFonts w:ascii="Wingdings" w:cs="Wingdings" w:eastAsia="Wingdings" w:hAnsi="Wingdings"/>
          <w:sz w:val="12"/>
          <w:szCs w:val="12"/>
          <w:b w:val="1"/>
          <w:bCs w:val="1"/>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40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left="300" w:right="40" w:hanging="298"/>
        <w:spacing w:after="0" w:line="275" w:lineRule="auto"/>
        <w:tabs>
          <w:tab w:leader="none" w:pos="299" w:val="left"/>
        </w:tabs>
        <w:numPr>
          <w:ilvl w:val="0"/>
          <w:numId w:val="39"/>
        </w:numPr>
        <w:rPr>
          <w:rFonts w:ascii="Wingdings" w:cs="Wingdings" w:eastAsia="Wingdings" w:hAnsi="Wingdings"/>
          <w:sz w:val="12"/>
          <w:szCs w:val="12"/>
          <w:b w:val="1"/>
          <w:bCs w:val="1"/>
          <w:color w:val="auto"/>
        </w:rPr>
      </w:pPr>
      <w:r>
        <w:rPr>
          <w:rFonts w:ascii="Arial" w:cs="Arial" w:eastAsia="Arial" w:hAnsi="Arial"/>
          <w:sz w:val="16"/>
          <w:szCs w:val="16"/>
          <w:color w:val="auto"/>
        </w:rPr>
        <w:t>the claims of any patent issuing based on our patent applications may not provide protection against competitors or any competitive advantages, or may be challenged by third parties;</w:t>
      </w:r>
    </w:p>
    <w:p>
      <w:pPr>
        <w:ind w:left="300" w:hanging="298"/>
        <w:spacing w:after="0"/>
        <w:tabs>
          <w:tab w:leader="none" w:pos="300" w:val="left"/>
        </w:tabs>
        <w:numPr>
          <w:ilvl w:val="0"/>
          <w:numId w:val="39"/>
        </w:numPr>
        <w:rPr>
          <w:rFonts w:ascii="Wingdings" w:cs="Wingdings" w:eastAsia="Wingdings" w:hAnsi="Wingdings"/>
          <w:sz w:val="12"/>
          <w:szCs w:val="12"/>
          <w:b w:val="1"/>
          <w:bCs w:val="1"/>
          <w:color w:val="auto"/>
        </w:rPr>
      </w:pPr>
      <w:r>
        <w:rPr>
          <w:rFonts w:ascii="Arial" w:cs="Arial" w:eastAsia="Arial" w:hAnsi="Arial"/>
          <w:sz w:val="16"/>
          <w:szCs w:val="16"/>
          <w:color w:val="auto"/>
        </w:rPr>
        <w:t>if enforced, a court may not hold that our patents are valid, enforceable and infringed;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39"/>
        </w:numPr>
        <w:rPr>
          <w:rFonts w:ascii="Wingdings" w:cs="Wingdings" w:eastAsia="Wingdings" w:hAnsi="Wingdings"/>
          <w:sz w:val="12"/>
          <w:szCs w:val="12"/>
          <w:b w:val="1"/>
          <w:bCs w:val="1"/>
          <w:color w:val="auto"/>
        </w:rPr>
      </w:pPr>
      <w:r>
        <w:rPr>
          <w:rFonts w:ascii="Arial" w:cs="Arial" w:eastAsia="Arial" w:hAnsi="Arial"/>
          <w:sz w:val="16"/>
          <w:szCs w:val="16"/>
          <w:color w:val="auto"/>
        </w:rPr>
        <w:t>we may need to initiate litigation or administrative proceedings to enforce and/or defend our patent rights which will be costly whether we win or lose;</w:t>
      </w:r>
    </w:p>
    <w:p>
      <w:pPr>
        <w:spacing w:after="0" w:line="46" w:lineRule="exact"/>
        <w:rPr>
          <w:rFonts w:ascii="Wingdings" w:cs="Wingdings" w:eastAsia="Wingdings" w:hAnsi="Wingdings"/>
          <w:sz w:val="12"/>
          <w:szCs w:val="12"/>
          <w:b w:val="1"/>
          <w:bCs w:val="1"/>
          <w:color w:val="auto"/>
        </w:rPr>
      </w:pPr>
    </w:p>
    <w:p>
      <w:pPr>
        <w:ind w:left="300" w:right="260" w:hanging="298"/>
        <w:spacing w:after="0" w:line="275" w:lineRule="auto"/>
        <w:tabs>
          <w:tab w:leader="none" w:pos="299" w:val="left"/>
        </w:tabs>
        <w:numPr>
          <w:ilvl w:val="0"/>
          <w:numId w:val="39"/>
        </w:numPr>
        <w:rPr>
          <w:rFonts w:ascii="Wingdings" w:cs="Wingdings" w:eastAsia="Wingdings" w:hAnsi="Wingdings"/>
          <w:sz w:val="12"/>
          <w:szCs w:val="12"/>
          <w:b w:val="1"/>
          <w:bCs w:val="1"/>
          <w:color w:val="auto"/>
        </w:rPr>
      </w:pPr>
      <w:r>
        <w:rPr>
          <w:rFonts w:ascii="Arial" w:cs="Arial" w:eastAsia="Arial" w:hAnsi="Arial"/>
          <w:sz w:val="16"/>
          <w:szCs w:val="16"/>
          <w:color w:val="auto"/>
        </w:rPr>
        <w:t>we may choose not to file a patent application in order to maintain certain trade secrets or know-how, and a third party may subsequently file a patent application covering such intellectual property;</w:t>
      </w:r>
    </w:p>
    <w:p>
      <w:pPr>
        <w:ind w:left="300" w:hanging="298"/>
        <w:spacing w:after="0"/>
        <w:tabs>
          <w:tab w:leader="none" w:pos="300" w:val="left"/>
        </w:tabs>
        <w:numPr>
          <w:ilvl w:val="0"/>
          <w:numId w:val="39"/>
        </w:numPr>
        <w:rPr>
          <w:rFonts w:ascii="Wingdings" w:cs="Wingdings" w:eastAsia="Wingdings" w:hAnsi="Wingdings"/>
          <w:sz w:val="12"/>
          <w:szCs w:val="12"/>
          <w:b w:val="1"/>
          <w:bCs w:val="1"/>
          <w:color w:val="auto"/>
        </w:rPr>
      </w:pPr>
      <w:r>
        <w:rPr>
          <w:rFonts w:ascii="Arial" w:cs="Arial" w:eastAsia="Arial" w:hAnsi="Arial"/>
          <w:sz w:val="16"/>
          <w:szCs w:val="16"/>
          <w:color w:val="auto"/>
        </w:rPr>
        <w:t>we may fail to adequately protect and police our trademarks and trade secrets; and</w:t>
      </w:r>
    </w:p>
    <w:p>
      <w:pPr>
        <w:spacing w:after="0" w:line="46" w:lineRule="exact"/>
        <w:rPr>
          <w:rFonts w:ascii="Wingdings" w:cs="Wingdings" w:eastAsia="Wingdings" w:hAnsi="Wingdings"/>
          <w:sz w:val="12"/>
          <w:szCs w:val="12"/>
          <w:b w:val="1"/>
          <w:bCs w:val="1"/>
          <w:color w:val="auto"/>
        </w:rPr>
      </w:pPr>
    </w:p>
    <w:p>
      <w:pPr>
        <w:ind w:left="300" w:right="160" w:hanging="298"/>
        <w:spacing w:after="0" w:line="290" w:lineRule="auto"/>
        <w:tabs>
          <w:tab w:leader="none" w:pos="299" w:val="left"/>
        </w:tabs>
        <w:numPr>
          <w:ilvl w:val="0"/>
          <w:numId w:val="39"/>
        </w:numPr>
        <w:rPr>
          <w:rFonts w:ascii="Wingdings" w:cs="Wingdings" w:eastAsia="Wingdings" w:hAnsi="Wingdings"/>
          <w:sz w:val="12"/>
          <w:szCs w:val="12"/>
          <w:b w:val="1"/>
          <w:bCs w:val="1"/>
          <w:color w:val="auto"/>
        </w:rPr>
      </w:pPr>
      <w:r>
        <w:rPr>
          <w:rFonts w:ascii="Arial" w:cs="Arial" w:eastAsia="Arial" w:hAnsi="Arial"/>
          <w:sz w:val="16"/>
          <w:szCs w:val="16"/>
          <w:color w:val="auto"/>
        </w:rPr>
        <w:t>the patents of others may have an adverse effect on our business, including if others obtain patents claiming subject matter similar to or improving that covered by our patent applications.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or similar events occur, they could significantly harm our business, financial condition, results of operations and prospects.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09" w:lineRule="exact"/>
        <w:rPr>
          <w:sz w:val="20"/>
          <w:szCs w:val="20"/>
          <w:color w:val="auto"/>
        </w:rPr>
      </w:pPr>
    </w:p>
    <w:p>
      <w:pPr>
        <w:jc w:val="both"/>
        <w:ind w:right="280"/>
        <w:spacing w:after="0" w:line="282" w:lineRule="auto"/>
        <w:rPr>
          <w:sz w:val="20"/>
          <w:szCs w:val="20"/>
          <w:color w:val="auto"/>
        </w:rPr>
      </w:pPr>
      <w:r>
        <w:rPr>
          <w:rFonts w:ascii="Arial" w:cs="Arial" w:eastAsia="Arial" w:hAnsi="Arial"/>
          <w:sz w:val="16"/>
          <w:szCs w:val="16"/>
          <w:b w:val="1"/>
          <w:bCs w:val="1"/>
          <w:i w:val="1"/>
          <w:iCs w:val="1"/>
          <w:color w:val="auto"/>
        </w:rPr>
        <w:t>The regulatory approval process is highly uncertain, and we may be unable to obtain, or may be delayed in obtaining, U.S.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9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current product candidates are, and any future product candidates will be,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have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VDPHL01 or any of our other product candidates or any future product candidates.</w:t>
      </w:r>
    </w:p>
    <w:p>
      <w:pPr>
        <w:spacing w:after="0" w:line="186"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Further, the FDA may respond to any NDA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including changes to requirements for clinical data or clinical trial design. Such changes could delay approval or necessitate withdrawal of our NDA submissions.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200" w:lineRule="exact"/>
        <w:rPr>
          <w:sz w:val="20"/>
          <w:szCs w:val="20"/>
          <w:color w:val="auto"/>
        </w:rPr>
      </w:pPr>
    </w:p>
    <w:p>
      <w:pPr>
        <w:spacing w:after="0" w:line="39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1" w:name="page72"/>
    <w:bookmarkEnd w:id="71"/>
    <w:p>
      <w:pPr>
        <w:ind w:right="40"/>
        <w:spacing w:after="0" w:line="261" w:lineRule="auto"/>
        <w:rPr>
          <w:sz w:val="20"/>
          <w:szCs w:val="20"/>
          <w:color w:val="auto"/>
        </w:rPr>
      </w:pPr>
      <w:r>
        <w:rPr>
          <w:rFonts w:ascii="Arial" w:cs="Arial" w:eastAsia="Arial" w:hAnsi="Arial"/>
          <w:sz w:val="16"/>
          <w:szCs w:val="16"/>
          <w:color w:val="auto"/>
        </w:rPr>
        <w:t>We also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72"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9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addition, if the FDA or a comparable foreign regulatory authority approves any of our product candidates, the manufacturing processes, labeling, packaging, distribution, post-approval monitoring and AE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to require the inclusion of a boxed warning, which highlights a specific life-threatening safety risk. FDA has required the inclusion of a boxed warning on the labeling for FDA-approved IR oral minoxidil for treatment of blood pressure and cardiovascular indications due to serious heart-related adverse effects. It is unclear at this stage whether FDA is likely to require inclusion of a boxed warning for our VDPHL01, as an ER oral minoxidil product. The manufacturing facilities we use to make a future product, if any, will also be subject to periodic review and inspection by the FDA and other regulatory authorities, including for continued compliance with Current Good Manufacturing Practices, or cGMPs. The discovery of any new or previously unknown problems with our third-party manufacturers, manufacturing processes or facilities may result in restrictions on the product, manufacturer or facility, including withdrawal of the product from the market.</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United States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 Even if it is later determined we were not in violation of these laws, we may be faced with negative publicity, incur significant expenses defending our actions and have to divert significant management resources from other matters.</w:t>
      </w:r>
    </w:p>
    <w:p>
      <w:pPr>
        <w:spacing w:after="0" w:line="176"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2" w:name="page73"/>
    <w:bookmarkEnd w:id="72"/>
    <w:p>
      <w:pPr>
        <w:ind w:right="220"/>
        <w:spacing w:after="0" w:line="272" w:lineRule="auto"/>
        <w:rPr>
          <w:sz w:val="20"/>
          <w:szCs w:val="20"/>
          <w:color w:val="auto"/>
        </w:rPr>
      </w:pPr>
      <w:r>
        <w:rPr>
          <w:rFonts w:ascii="Arial" w:cs="Arial" w:eastAsia="Arial" w:hAnsi="Arial"/>
          <w:sz w:val="16"/>
          <w:szCs w:val="16"/>
          <w:b w:val="1"/>
          <w:bCs w:val="1"/>
          <w:i w:val="1"/>
          <w:iCs w:val="1"/>
          <w:color w:val="auto"/>
        </w:rPr>
        <w:t>Disruptions at the FDA, SEC or comparable foreign regulatory authorities caused by funding shortages or global health concerns could hinder their ability to hire, retain or deploy key leadership and other personnel necessary for the review, approval and commercialization of new products in a timely manner or otherwise prevent those authorities from performing normal business functions on which the operation of our business may rely, which could negatively impact our business.</w:t>
      </w:r>
    </w:p>
    <w:p>
      <w:pPr>
        <w:spacing w:after="0" w:line="9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 Disruptions at the FDA and other regulatory authorities may also slow the time necessary for new drugs or modifications to approved drugs to be reviewed and/or approved, which would adversely affect our business. For example, over the last several years, the U.S. government has shut down several times, including in 2025, and certain regulatory authorities, such as the FDA and the SEC, have had to furlough critical employees and stop critical activities.</w:t>
      </w:r>
    </w:p>
    <w:p>
      <w:pPr>
        <w:spacing w:after="0" w:line="17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b w:val="1"/>
          <w:bCs w:val="1"/>
          <w:i w:val="1"/>
          <w:iCs w:val="1"/>
          <w:color w:val="auto"/>
        </w:rPr>
        <w:t>If we fail to comply with broad and complex healthcare and other laws, we could face substantial penalties and our business, operations, and financial condition could be adversely affected.</w:t>
      </w:r>
    </w:p>
    <w:p>
      <w:pPr>
        <w:spacing w:after="0" w:line="79"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The marketing of 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Some of these laws apply to us now, while other laws may apply to us only if and when we have marketed products or have marketed products that are covered by government health benefit programs or private health care insurance. These laws include:</w:t>
      </w:r>
    </w:p>
    <w:p>
      <w:pPr>
        <w:spacing w:after="0" w:line="97" w:lineRule="exact"/>
        <w:rPr>
          <w:sz w:val="20"/>
          <w:szCs w:val="20"/>
          <w:color w:val="auto"/>
        </w:rPr>
      </w:pPr>
    </w:p>
    <w:p>
      <w:pPr>
        <w:ind w:left="300" w:hanging="298"/>
        <w:spacing w:after="0" w:line="267" w:lineRule="auto"/>
        <w:tabs>
          <w:tab w:leader="none" w:pos="299"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ind w:left="300" w:right="60" w:hanging="298"/>
        <w:spacing w:after="0" w:line="267" w:lineRule="auto"/>
        <w:tabs>
          <w:tab w:leader="none" w:pos="299"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w:t>
      </w:r>
    </w:p>
    <w:p>
      <w:pPr>
        <w:ind w:left="300" w:right="120" w:hanging="298"/>
        <w:spacing w:after="0" w:line="267" w:lineRule="auto"/>
        <w:tabs>
          <w:tab w:leader="none" w:pos="299"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the federal Health Insurance Portability and Accountability Act of 1996, as amended, or HIPAA,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payors with whom we interact;</w:t>
      </w:r>
    </w:p>
    <w:p>
      <w:pPr>
        <w:ind w:left="300" w:right="500" w:hanging="298"/>
        <w:spacing w:after="0" w:line="275" w:lineRule="auto"/>
        <w:tabs>
          <w:tab w:leader="none" w:pos="299"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the FDCA, which, among other things, strictly regulates drug product and medical device marketing, prohibits manufacturers from marketing such products for off-label use, and regulates the distribution of samples;</w:t>
      </w:r>
    </w:p>
    <w:p>
      <w:pPr>
        <w:jc w:val="both"/>
        <w:ind w:left="300" w:right="20" w:hanging="298"/>
        <w:spacing w:after="0" w:line="272" w:lineRule="auto"/>
        <w:tabs>
          <w:tab w:leader="none" w:pos="299"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1" w:lineRule="exact"/>
        <w:rPr>
          <w:rFonts w:ascii="Wingdings" w:cs="Wingdings" w:eastAsia="Wingdings" w:hAnsi="Wingdings"/>
          <w:sz w:val="12"/>
          <w:szCs w:val="12"/>
          <w:b w:val="1"/>
          <w:bCs w:val="1"/>
          <w:color w:val="auto"/>
        </w:rPr>
      </w:pPr>
    </w:p>
    <w:p>
      <w:pPr>
        <w:ind w:left="300" w:right="100" w:hanging="298"/>
        <w:spacing w:after="0" w:line="263" w:lineRule="auto"/>
        <w:tabs>
          <w:tab w:leader="none" w:pos="299"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the so-called federal “sunshine law” or Open Payments which requires manufacturers of drugs, devices, biologics, and medical supplies covered under certain government health benefit programs to report to the Centers for Medicare &amp; Medicaid Services, or CMS, information related to payments and other transfers of value to teaching hospitals, physicians, and other healthcare practitioners, as well as ownership and investment interests held by physicians and their immediate family members;</w:t>
      </w:r>
    </w:p>
    <w:p>
      <w:pPr>
        <w:ind w:left="300" w:hanging="298"/>
        <w:spacing w:after="0"/>
        <w:tabs>
          <w:tab w:leader="none" w:pos="300" w:val="left"/>
        </w:tabs>
        <w:numPr>
          <w:ilvl w:val="0"/>
          <w:numId w:val="40"/>
        </w:numPr>
        <w:rPr>
          <w:rFonts w:ascii="Wingdings" w:cs="Wingdings" w:eastAsia="Wingdings" w:hAnsi="Wingdings"/>
          <w:sz w:val="12"/>
          <w:szCs w:val="12"/>
          <w:b w:val="1"/>
          <w:bCs w:val="1"/>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200" w:lineRule="exact"/>
        <w:rPr>
          <w:sz w:val="20"/>
          <w:szCs w:val="20"/>
          <w:color w:val="auto"/>
        </w:rPr>
      </w:pPr>
    </w:p>
    <w:p>
      <w:pPr>
        <w:spacing w:after="0" w:line="28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3" w:name="page74"/>
    <w:bookmarkEnd w:id="73"/>
    <w:p>
      <w:pPr>
        <w:ind w:left="300" w:right="60" w:hanging="298"/>
        <w:spacing w:after="0" w:line="263" w:lineRule="auto"/>
        <w:tabs>
          <w:tab w:leader="none" w:pos="299" w:val="left"/>
        </w:tabs>
        <w:numPr>
          <w:ilvl w:val="0"/>
          <w:numId w:val="41"/>
        </w:numPr>
        <w:rPr>
          <w:rFonts w:ascii="Wingdings" w:cs="Wingdings" w:eastAsia="Wingdings" w:hAnsi="Wingdings"/>
          <w:sz w:val="12"/>
          <w:szCs w:val="12"/>
          <w:b w:val="1"/>
          <w:bCs w:val="1"/>
          <w:color w:val="auto"/>
        </w:rPr>
      </w:pPr>
      <w:r>
        <w:rPr>
          <w:rFonts w:ascii="Arial" w:cs="Arial" w:eastAsia="Arial" w:hAnsi="Arial"/>
          <w:sz w:val="16"/>
          <w:szCs w:val="16"/>
          <w:color w:val="auto"/>
        </w:rPr>
        <w:t>state laws and regulations analogous to federal laws, including anti-kickback or related laws, some of which apply regardless of whether products or services are covered by government health benefit programs or private insurance, false claims laws, laws prohibiting consumer protection and unfair competition laws, and laws governing privacy, security, and breaches of health (and other personal) information in certain circumstances, many of which differ in significant ways from federal laws and across states and are often not preempted by federal law, thus complicating compliance efforts; and</w:t>
      </w:r>
    </w:p>
    <w:p>
      <w:pPr>
        <w:ind w:left="300" w:right="20" w:hanging="298"/>
        <w:spacing w:after="0" w:line="278" w:lineRule="auto"/>
        <w:tabs>
          <w:tab w:leader="none" w:pos="299" w:val="left"/>
        </w:tabs>
        <w:numPr>
          <w:ilvl w:val="0"/>
          <w:numId w:val="41"/>
        </w:numPr>
        <w:rPr>
          <w:rFonts w:ascii="Wingdings" w:cs="Wingdings" w:eastAsia="Wingdings" w:hAnsi="Wingdings"/>
          <w:sz w:val="12"/>
          <w:szCs w:val="12"/>
          <w:b w:val="1"/>
          <w:bCs w:val="1"/>
          <w:color w:val="auto"/>
        </w:rPr>
      </w:pPr>
      <w:r>
        <w:rPr>
          <w:rFonts w:ascii="Arial" w:cs="Arial" w:eastAsia="Arial" w:hAnsi="Arial"/>
          <w:sz w:val="16"/>
          <w:szCs w:val="16"/>
          <w:color w:val="auto"/>
        </w:rPr>
        <w:t>state laws that require pharmaceutical companies to comply with specific compliance standards, restrict financial interactions between pharmaceutical companies and healthcare providers, report drug product pricing information, financial interactions with health care providers, or marketing expenditures, and/or require the registration of pharmaceutical sales representatives.</w:t>
      </w:r>
    </w:p>
    <w:p>
      <w:pPr>
        <w:spacing w:after="0" w:line="15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44"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To the extent that we implement a telehealth platform, activities undertaken and arrangements implemented in connection with such a platform may implicate other laws such as state physician, pharmacy and telehealth licensure laws, corporate practice of medicine, and fee-splitting laws.</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For example, we have engaged physicians to serve as investigators and/or consultants, including service on advisory boards, and our commercialization plan may include significant physician outreach and education. Federal and state enforcement agencies scrutinize interactions between pharmaceutical companies and healthcare providers, which has led to a number of investigations, prosecutions, convictions, and settlements in the healthcare industry. If our operations are found to be in violation of any of these laws or any other governmental regulations that may apply to us, we may be subject to significant civil, criminal, and administrative penalties, damages, fines, exclusion from participation in federal health care programs such as Medicare and Medicaid, the curtailment or restructuring of our operations, and other actions.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FDA and CMS,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7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b w:val="1"/>
          <w:bCs w:val="1"/>
          <w:i w:val="1"/>
          <w:iCs w:val="1"/>
          <w:color w:val="auto"/>
        </w:rPr>
        <w:t>Legislative, regulatory, and executive healthcare and other reform initiatives aimed at reducing healthcare costs may have a material adverse effect on our business and results of operations.</w:t>
      </w:r>
    </w:p>
    <w:p>
      <w:pPr>
        <w:spacing w:after="0" w:line="79"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Legislative, regulatory, and executive healthcare and other reform initiatives in the United States, including those aimed at containing or lowering the cost of healthcare, may adversely impact our business, operations, and financial condition.</w:t>
      </w:r>
    </w:p>
    <w:p>
      <w:pPr>
        <w:spacing w:after="0" w:line="131" w:lineRule="exact"/>
        <w:rPr>
          <w:sz w:val="20"/>
          <w:szCs w:val="20"/>
          <w:color w:val="auto"/>
        </w:rPr>
      </w:pPr>
    </w:p>
    <w:p>
      <w:pPr>
        <w:ind w:right="440"/>
        <w:spacing w:after="0" w:line="263" w:lineRule="auto"/>
        <w:rPr>
          <w:sz w:val="20"/>
          <w:szCs w:val="20"/>
          <w:color w:val="auto"/>
        </w:rPr>
      </w:pPr>
      <w:r>
        <w:rPr>
          <w:rFonts w:ascii="Arial" w:cs="Arial" w:eastAsia="Arial" w:hAnsi="Arial"/>
          <w:sz w:val="16"/>
          <w:szCs w:val="16"/>
          <w:color w:val="auto"/>
        </w:rPr>
        <w:t>A number of the healthcare reform initiatives have focused on pricing and payment for prescription drugs, including some recent initiatives that address pricing in DTC offerings. For example, the Inflation Reduction Act of 2022, or the IRA, which is having a significant and ongoing impact on the pharmaceutical industry, includes a number of changes intended to address rising prescription drug prices in Medicare Parts B and D, such as caps on Medicare Part D out-of-pocket costs and a drug price negotiation program for certain high-spend Medicare Part B and D drugs.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4" w:name="page75"/>
    <w:bookmarkEnd w:id="74"/>
    <w:p>
      <w:pPr>
        <w:spacing w:after="0" w:line="258" w:lineRule="auto"/>
        <w:rPr>
          <w:sz w:val="20"/>
          <w:szCs w:val="20"/>
          <w:color w:val="auto"/>
        </w:rPr>
      </w:pPr>
      <w:r>
        <w:rPr>
          <w:rFonts w:ascii="Arial" w:cs="Arial" w:eastAsia="Arial" w:hAnsi="Arial"/>
          <w:sz w:val="16"/>
          <w:szCs w:val="16"/>
          <w:color w:val="auto"/>
        </w:rPr>
        <w:t>More recently, the Trump Administration has taken action intended to reduce the cost of prescription drugs, including drugs purchased directly by consumers. The administration issued two Executive Orders aimed at lowering drug prices through multiple directives, including directives to government agencies and officials to identify most-favored-nation pricing targets for prescription drugs (and looking to pharmaceutical manufacturers to make significant progress towards delivering target prices to patients), to facilitate DTC purchasing programs for pharmaceutical manufacturers to sell their products to patients at the most-favored-nation price, to enhance competition for high-cost prescription drugs by accelerating approval of generics and biosimilars, facilitating the process for re-classifying prescription drugs as OTC drugs, and increasing drug importation. In the wake of the Executive Orders and related executive initiatives, a number of pharmaceutical manufacturers have announced new or expanded DTC offerings with discounted prices and/or reached agreement with the federal government regarding discounted pricing for drugs, including prices for Medicaid drugs and newly launched products. TrumpRx, a website sponsored by the federal government that is anticipated to offer pharmaceutical DTC channels, has also been announced. Federal agencies are also developing and proposing new drug pricing and payment pilot programs based on international pricing metrics under Medicare Parts B and D as well as Medicaid.</w:t>
      </w:r>
    </w:p>
    <w:p>
      <w:pPr>
        <w:spacing w:after="0" w:line="366" w:lineRule="exact"/>
        <w:rPr>
          <w:sz w:val="20"/>
          <w:szCs w:val="20"/>
          <w:color w:val="auto"/>
        </w:rPr>
      </w:pPr>
    </w:p>
    <w:p>
      <w:pPr>
        <w:jc w:val="both"/>
        <w:ind w:right="140"/>
        <w:spacing w:after="0" w:line="269" w:lineRule="auto"/>
        <w:rPr>
          <w:sz w:val="20"/>
          <w:szCs w:val="20"/>
          <w:color w:val="auto"/>
        </w:rPr>
      </w:pPr>
      <w:r>
        <w:rPr>
          <w:rFonts w:ascii="Arial" w:cs="Arial" w:eastAsia="Arial" w:hAnsi="Arial"/>
          <w:sz w:val="16"/>
          <w:szCs w:val="16"/>
          <w:color w:val="auto"/>
        </w:rPr>
        <w:t>Other healthcare reform efforts or actions under the Trump Administration may affect access to healthcare coverage or the funding of health care benefits, although the full impact of such efforts or actions cannot be predicted. For example, Congressional Budget Office has estimated that Medicaid provisions in the 2025 budget reconciliation legislation, including restrictions in eligibility and funding for Medicaid, as well as changes to the healthcare marketplace, will increase the number of uninsured.</w:t>
      </w:r>
    </w:p>
    <w:p>
      <w:pPr>
        <w:spacing w:after="0" w:line="16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Healthcare reform efforts have been and may continue to be subject to scrutiny and legal challenge, which increases uncertainty. For example, the IRA drug price negotiation program has been challenged in litigation filed by various pharmaceutical manufacturers and industry groups.</w:t>
      </w:r>
    </w:p>
    <w:p>
      <w:pPr>
        <w:spacing w:after="0" w:line="144"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This could reduce the ultimate demand for our product candidates, if approved, or put pressure on our product pricing, which could negatively affect our business, financial condition, results of operations, and prospects.</w:t>
      </w:r>
    </w:p>
    <w:p>
      <w:pPr>
        <w:spacing w:after="0" w:line="16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Other recent government actions also may affect prices or payments for prescription drugs. For example, the Trump Administration’s recently announced tariff on branded or patented drugs for manufacturers that do not invest in manufacturing plants in the United States or reach a drug pricing agreement with the Trump Administration may adversely impact our ability to realize an adequate return on the sale of any drug products imported from abroad or manufactured using products or materials imported from abroad. The timeline for implementation of this tariff has not yet been finalized. As another example, the Budget Control Act, as amended, resulted in the imposition of reductions in Medicare (but not Medicaid) payments to providers in 2013 and will remain in effect into 2032 unless additional Congressional action is taken.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nature and extent of future healthcare or other reforms cannot be predicted. There is significant uncertainty regarding the nature or impact of any drug pricing or broader healthcare reform implemented by the current presidential administration through executive action or by Congress and the extent to which such action may be subject to litigation or other challenges. Reform at the federal or state level could affect demand for, or pricing of, any future products if approved for sale. We cannot, however, predict the ultimate content, timing, or effect of any federal and state reform efforts. There is no assurance that federal or state health care reform will not adversely affect our future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5" w:name="page76"/>
    <w:bookmarkEnd w:id="75"/>
    <w:p>
      <w:pPr>
        <w:ind w:right="20"/>
        <w:spacing w:after="0" w:line="272" w:lineRule="auto"/>
        <w:rPr>
          <w:sz w:val="20"/>
          <w:szCs w:val="20"/>
          <w:color w:val="auto"/>
        </w:rPr>
      </w:pPr>
      <w:r>
        <w:rPr>
          <w:rFonts w:ascii="Arial" w:cs="Arial" w:eastAsia="Arial" w:hAnsi="Arial"/>
          <w:sz w:val="16"/>
          <w:szCs w:val="16"/>
          <w:b w:val="1"/>
          <w:bCs w:val="1"/>
          <w:i w:val="1"/>
          <w:iCs w:val="1"/>
          <w:color w:val="auto"/>
        </w:rPr>
        <w:t>We are or may become subject to stringent and evolving U.S. and foreign laws, regulations, rules, contractual obligations, industry standards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imposes specific requirements relating to the privacy, security, and transmission of individually identifiable health information.</w:t>
      </w:r>
    </w:p>
    <w:p>
      <w:pPr>
        <w:spacing w:after="0" w:line="17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example, the California Consumer Privacy Act, or CCPA, provides for civil penalties per violation as well as a private right of action with statutory damages for certain data breaches. The CCPA also exempts some data processed in the context of clinical trials. These laws may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self-regulatory standards that may place additional burdens on us. Similar laws are being considered in several other states, as well as at the federal and local levels, and we expect more states to pass similar laws in the future.</w:t>
      </w:r>
    </w:p>
    <w:p>
      <w:pPr>
        <w:spacing w:after="0" w:line="37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There are many other federal and state-based data privacy and security laws and regulations, such as the Federal Communications Act, the Electronic Communications Privacy Act, the TCPA, the CAN-SPAM Act, and similar state consumer protection and communication privacy laws, such as the CIPA. For example, the CAN-SPAM Act and the TCPA impose specific requirements on communications with consumers. The TCPA and analogous state laws impose various consumer consent requirements and other requirements on certain communications with consumers by phone or text message. TCPA violations can result in significant financial penalties, including penalties or criminal fines imposed by the FCC, or statutory damages of up to $1,500 per violation imposed through private litigation or by state authorities. The TCPA provides for substantial penalties and statutory damages and has generated significant class action activity. The costs of litigating and/or settling a TCPA or similar legal claim could be significant. There has also been a noticeable uptick in class action litigation wherein plaintiffs have utilized a variety of laws, including state wiretapping laws such as the CIPA, in relation to companies’ use of certain tracking technologies, such as cookies and pixels. Actual or perceived failure to comply with these laws and regulations could subject us to legal proceedings (such as class action litigation and mass arbitration demands), which could result in adverse publicity, substantial monetary damages and legal defense costs, injunctive relief and fines or penalties.</w:t>
      </w:r>
    </w:p>
    <w:p>
      <w:pPr>
        <w:spacing w:after="0" w:line="18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are or may become subject to laws governing the privacy of consumer health data, including reproductive, sexual orientation, and gender identity privacy rights. For example, Washington’s My Health My Data Act, or MHMD, as applicable to our operations, broadly defines consumer health data, places restrictions on the processing of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spacing w:after="0" w:line="182" w:lineRule="exact"/>
        <w:rPr>
          <w:sz w:val="20"/>
          <w:szCs w:val="20"/>
          <w:color w:val="auto"/>
        </w:rPr>
      </w:pPr>
    </w:p>
    <w:p>
      <w:pPr>
        <w:ind w:right="540"/>
        <w:spacing w:after="0" w:line="290" w:lineRule="auto"/>
        <w:rPr>
          <w:sz w:val="20"/>
          <w:szCs w:val="20"/>
          <w:color w:val="auto"/>
        </w:rPr>
      </w:pPr>
      <w:r>
        <w:rPr>
          <w:rFonts w:ascii="Arial" w:cs="Arial" w:eastAsia="Arial" w:hAnsi="Arial"/>
          <w:sz w:val="16"/>
          <w:szCs w:val="16"/>
          <w:color w:val="auto"/>
        </w:rPr>
        <w:t>In addition to data privacy and security laws, we are also bound by other contractual obligations related to data privacy and security, and our efforts to comply with such obligations may not be successful.</w:t>
      </w:r>
    </w:p>
    <w:p>
      <w:pPr>
        <w:spacing w:after="0" w:line="200" w:lineRule="exact"/>
        <w:rPr>
          <w:sz w:val="20"/>
          <w:szCs w:val="20"/>
          <w:color w:val="auto"/>
        </w:rPr>
      </w:pPr>
    </w:p>
    <w:p>
      <w:pPr>
        <w:spacing w:after="0" w:line="38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140"/>
        <w:spacing w:after="0" w:line="264" w:lineRule="auto"/>
        <w:rPr>
          <w:sz w:val="20"/>
          <w:szCs w:val="20"/>
          <w:color w:val="auto"/>
        </w:rPr>
      </w:pPr>
      <w:r>
        <w:rPr>
          <w:rFonts w:ascii="Arial" w:cs="Arial" w:eastAsia="Arial" w:hAnsi="Arial"/>
          <w:sz w:val="16"/>
          <w:szCs w:val="16"/>
          <w:color w:val="auto"/>
        </w:rPr>
        <w:t>Our employees and personnel use or may in the future use generative AI and/or automated decision-making technologies to perform their work, and the disclosure and use of personal data in AI technologies is subject to various privacy laws and other privacy obligations. Governments have passed and are likely to pass additional laws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spacing w:after="0" w:line="16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DOJ, issued a rule entitled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also publicly post certain of our privacy policies and practices concerning our collection, use, disclosure and other processing of the personal information.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may at times fail (or be perceived to have failed) in our efforts to comply with our data privacy and security obligations. Moreover, despite our efforts, our personnel or third-parties with whom we work may fail to comply with such obligations. Any actual or perceived failure by us or the third parties with whom we work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process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7" w:name="page78"/>
    <w:bookmarkEnd w:id="77"/>
    <w:p>
      <w:pPr>
        <w:ind w:right="40"/>
        <w:spacing w:after="0" w:line="272"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as well as U.S. and certain foreign export controls, trade sanctions, and import laws and regulations. Compliance with these legal standards could impair our ability to compete in domestic and international markets. We can face criminal liability and other serious consequences for violations, which can harm our business.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subject to export control and import laws and regulations, including the United States Export Administration Regulations, United States Customs regulations, various economic and trade sanctions regulations administered by the United States Treasury Department’s Office of Foreign Assets Controls, the United States Foreign Corrupt Practices Act of 1977, as amended, or FCPA,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Recently the SEC and the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employees, disgorgement, and other sanctions and remedial measures, and prohibitions on the conduct of our business. Any such violations could include prohibitions on our ability to offer VDPHL01 or any future product candidates in one or more countries and could materially damage our reputation, brand, international activities, ability to attract and retain employees, and business, prospects, operating results and financial condition.</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VDPHL01 or any of our other current or future product candidates and activities may be subject to U.S. and foreign export controls, trade sanctions and import laws and regulations. Governmental regulation of the import or export of VDPHL01 or any of our other current or future product candidates, or our failure to obtain any required import or export authorization for VDPHL01 or any of our other current or future product candidates, when applicable, could harm our international sales and adversely affect our revenue. Compliance with applicable regulatory requirements regarding the export of VDPHL01 or any of our other current or future product candidates may create delays in the introduction of our product candidates in international markets or, in some cases, prevent the export of our product candidates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VDPHL01 or any of our other current or future product candidates by, or in our decreased ability to export VDPHL01 or any of our other current or future product candidates to existing or potential customers with international operations. Any decreased use of VDPHL01 or any of our other current or future product candidates or limitation on our ability to export or sell access to VDPHL01 or any of our other current or future product candidates would likely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0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We currently rely on third parties for the manufacture of drug or biological substances for our preclinical studies and clinical trials and expect to continue to do so for commercialization of any product candidates that we may develop that are approved for marketing. Our reliance on third parties may increase the risk that we will not have sufficient quantities of such drug substance, product candidates, or any products that we may develop and commercialize, or that such supply will not be available to us at an acceptable cost, which could delay, prevent, or impair our development or commercialization efforts.</w:t>
      </w:r>
    </w:p>
    <w:p>
      <w:pPr>
        <w:spacing w:after="0" w:line="10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have limited personnel with experience in manufacturing, and we do not own facilities for manufacturing VDPHL01 or any other product candidate. Instead, we rely on and expect to continue to rely on CMOs for the supply of cGMP-drug substance and drug product of VDPHL01 and any other product candidates we develop and, in the future, for commercial supply for any approved product candidates. Currently, we rely on one CMO for the supply of drug product of VDPHL01. Reliance on third parties may expose us to more risk than if we were to manufacture our product candidates ourselves. For example, should demand for our drug significantly exceed what is expected, we may experience supply shortages in trying to obtain or source material to meet such demand. Additionally, we do not have long-term supply contracts with any of our CMOs for preclinical or clinical supply,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We may be unsuccessful in negotiating and entering into long-term master supply agreements with certain of our current or future CMOs on favorable terms or at all, which would likely jeopardize our ability to provide any product candidates to participants in clinical trials and products to market, if approved.</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have entered into a commercial supply agreement with a third-party manufacturer for commercial supply of VDPHL01, if approved. We intend to rely on this manufacturer as the primary source for drug product manufacturing and final packaging for VDPHL01. Unless and until we can secure an alternative source for drug product manufacturing and final packaging, our dependence on one manufacturer will subject us to the possible risks of shortages, interruptions and price fluctuations if VDPHL01 is approved for commercialization. We may not be able to establish agreements with other third-party manufacturers if necessary for VDPHL01 or any other product candidate that receives marketing approval,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Reliance on third-party manufacturers entails additional risks, including:</w:t>
      </w:r>
    </w:p>
    <w:p>
      <w:pPr>
        <w:spacing w:after="0" w:line="149" w:lineRule="exact"/>
        <w:rPr>
          <w:sz w:val="20"/>
          <w:szCs w:val="20"/>
          <w:color w:val="auto"/>
        </w:rPr>
      </w:pPr>
    </w:p>
    <w:p>
      <w:pPr>
        <w:ind w:left="300" w:right="80" w:hanging="298"/>
        <w:spacing w:after="0" w:line="267" w:lineRule="auto"/>
        <w:tabs>
          <w:tab w:leader="none" w:pos="299"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failure of the third party to manufacture VDPHL01 or any other current or future product candidates according to our schedule, or at all, including if our third-party contractors give greater priority to the supply of other products over our products or product candidates or otherwise do not satisfactorily perform according to the terms of the agreements between us and them;</w:t>
      </w: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failure of the third party to manufacture VDPHL01 or any other current or future product candidates according to our specifications;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reduction or termination of production or deliveries by suppliers, or the raising of prices or renegotiation of terms;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possible breach of the manufacturing agreement by the third-party;</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possible termination or nonrenewal of the agreement by the third-party at a time that is costly or inconvenient for us;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mislabeling of clinical supplies, potentially resulting in the wrong dose amounts being supplied or study drug or placebo not being properly identified;</w:t>
      </w:r>
    </w:p>
    <w:p>
      <w:pPr>
        <w:spacing w:after="0" w:line="46" w:lineRule="exact"/>
        <w:rPr>
          <w:rFonts w:ascii="Wingdings" w:cs="Wingdings" w:eastAsia="Wingdings" w:hAnsi="Wingdings"/>
          <w:sz w:val="12"/>
          <w:szCs w:val="12"/>
          <w:b w:val="1"/>
          <w:bCs w:val="1"/>
          <w:color w:val="auto"/>
        </w:rPr>
      </w:pPr>
    </w:p>
    <w:p>
      <w:pPr>
        <w:ind w:left="300" w:right="500" w:hanging="298"/>
        <w:spacing w:after="0" w:line="275" w:lineRule="auto"/>
        <w:tabs>
          <w:tab w:leader="none" w:pos="299"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failure of third-party contractors to comply with applicable regulatory requirements, whether related to VDPHL01 or any other current or future product candidates or products;</w:t>
      </w:r>
    </w:p>
    <w:p>
      <w:pPr>
        <w:ind w:left="300" w:right="120" w:hanging="298"/>
        <w:spacing w:after="0" w:line="275" w:lineRule="auto"/>
        <w:tabs>
          <w:tab w:leader="none" w:pos="299"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clinical supplies not being delivered to clinical sites on time, leading to clinical trial interruptions, or of drug supplies not being distributed to commercial vendors in a timely manner, resulting in lost sales;</w:t>
      </w: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misappropriation of our proprietary information, including our trade secrets and know-how;</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reliance on the third-party for regulatory compliance, quality assurance, safety, and pharmacovigilance and related reporting; and</w:t>
      </w:r>
    </w:p>
    <w:p>
      <w:pPr>
        <w:spacing w:after="0" w:line="46" w:lineRule="exact"/>
        <w:rPr>
          <w:rFonts w:ascii="Wingdings" w:cs="Wingdings" w:eastAsia="Wingdings" w:hAnsi="Wingdings"/>
          <w:sz w:val="12"/>
          <w:szCs w:val="12"/>
          <w:b w:val="1"/>
          <w:bCs w:val="1"/>
          <w:color w:val="auto"/>
        </w:rPr>
      </w:pPr>
    </w:p>
    <w:p>
      <w:pPr>
        <w:ind w:left="300" w:right="500" w:hanging="298"/>
        <w:spacing w:after="0" w:line="290" w:lineRule="auto"/>
        <w:tabs>
          <w:tab w:leader="none" w:pos="299" w:val="left"/>
        </w:tabs>
        <w:numPr>
          <w:ilvl w:val="0"/>
          <w:numId w:val="42"/>
        </w:numPr>
        <w:rPr>
          <w:rFonts w:ascii="Wingdings" w:cs="Wingdings" w:eastAsia="Wingdings" w:hAnsi="Wingdings"/>
          <w:sz w:val="12"/>
          <w:szCs w:val="12"/>
          <w:b w:val="1"/>
          <w:bCs w:val="1"/>
          <w:color w:val="auto"/>
        </w:rPr>
      </w:pPr>
      <w:r>
        <w:rPr>
          <w:rFonts w:ascii="Arial" w:cs="Arial" w:eastAsia="Arial" w:hAnsi="Arial"/>
          <w:sz w:val="16"/>
          <w:szCs w:val="16"/>
          <w:color w:val="auto"/>
        </w:rPr>
        <w:t>the possible inability of third-party suppliers to supply and/or transport materials, components and products to us in a timely manner as a result of disruptions to the global supply chain.</w:t>
      </w:r>
    </w:p>
    <w:p>
      <w:pPr>
        <w:spacing w:after="0" w:line="200" w:lineRule="exact"/>
        <w:rPr>
          <w:sz w:val="20"/>
          <w:szCs w:val="20"/>
          <w:color w:val="auto"/>
        </w:rPr>
      </w:pPr>
    </w:p>
    <w:p>
      <w:pPr>
        <w:spacing w:after="0" w:line="38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sectPr>
      </w:pPr>
    </w:p>
    <w:bookmarkStart w:id="79" w:name="page80"/>
    <w:bookmarkEnd w:id="79"/>
    <w:p>
      <w:pPr>
        <w:ind w:right="40"/>
        <w:spacing w:after="0" w:line="257" w:lineRule="auto"/>
        <w:rPr>
          <w:sz w:val="20"/>
          <w:szCs w:val="20"/>
          <w:color w:val="auto"/>
        </w:rPr>
      </w:pPr>
      <w:r>
        <w:rPr>
          <w:rFonts w:ascii="Arial" w:cs="Arial" w:eastAsia="Arial" w:hAnsi="Arial"/>
          <w:sz w:val="16"/>
          <w:szCs w:val="16"/>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Moreover,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therapies, operating restrictions, and criminal prosecutions, any of which could significantly and adversely affect supplies of our therapies and harm our business, financial condition, results of operations, and prospects.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While we provide oversight of manufacturing activities, we have limited ability to control the execution of manufacturing activities by, and are or will be dependent on, our CMOs for compliance with cGMP requirements for the manufacture of our product candidates by our CMOs. As a result, we are subject to the risk that our product candidates may have manufacturing defects or fail to comply with regulatory requirements, which we have limited ability to prevent. CMOs may also have competing obligations that prevent them from manufacturing our product candidates in a timely manner. If a CMO cannot successfully manufacture drug substance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and we were not involved in developing our CMOs’ policies and procedures.</w:t>
      </w:r>
    </w:p>
    <w:p>
      <w:pPr>
        <w:spacing w:after="0" w:line="185"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facilities and processes used to manufacture our product candidates are subject to inspection by the FDA and other comparable foreign authorities. If the FDA or other comparable foreign regulatory authority finds deficiencies with or does not approve these facilities for the manufacture of our product candidates or if it withdraws any such approval or finds deficiencies in the future, we may need to find alternative manufacturing facilities or conduct additional studies, which would delay our development program and significantly impact our ability to develop, obtain regulatory approval for, or commercialize our product candidates, if approved. Furthermore, CMOs may breach existing agreements they have with us because of factors beyond our control. They may also terminate or refuse to renew their agreement at a time that is costly or otherwise inconvenient for us. Finding new CMOs or third-party suppliers involves additional cost and requires our management’s time and focus. In addition, there is typically a transition period when a new CMO commences work. Any significant delay in the supply of our product candidates or the raw materials needed to produce our product candidates, could considerably delay conducting our clinical trials and potential regulatory approval of our product candidates. If we were unable to find an adequate CMO or another acceptable solution in time, our clinical trials could be delayed, or our commercial activities could be harmed.</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rely on and will continue to rely on CMOs to purchase from third-party suppliers raw materials necessary to produce our product candidates. We have limited ability to control the process or timing of the acquisition of these raw materials by our CMOs. Supplies of raw materials could be interrupted from time to time and we cannot be certain that alternative supplies could be obtained within a reasonable time 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 Moreover, our product candidates utilize drug substances that are produced on a small scale, which could limit our ability to reach agreements with alternative suppliers.</w:t>
      </w:r>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0" w:name="page81"/>
    <w:bookmarkEnd w:id="80"/>
    <w:p>
      <w:pPr>
        <w:ind w:right="40"/>
        <w:spacing w:after="0" w:line="260" w:lineRule="auto"/>
        <w:rPr>
          <w:sz w:val="20"/>
          <w:szCs w:val="20"/>
          <w:color w:val="auto"/>
        </w:rPr>
      </w:pPr>
      <w:r>
        <w:rPr>
          <w:rFonts w:ascii="Arial" w:cs="Arial" w:eastAsia="Arial" w:hAnsi="Arial"/>
          <w:sz w:val="16"/>
          <w:szCs w:val="16"/>
          <w:color w:val="auto"/>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169"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9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rely and intend to continue to rely on third-party clinical investigators, CROs and clinical data management organizations to conduct, supervise and monitor preclinical studies and clinical trials of our current and future product candidates. Currently, Therapeutics, Inc. is our exclusive provider of clinical trial management, regulatory affairs activities (including acting as our designated agent with the FDA), program support and other CRO services, and will continue to be our exclusive provider of such services through the completion of Phase 2 of VDMN (or, if later, the first Veradermics product candidate to reach completion of Phase 2).</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is conducted in accordance with GLPs and clinical trials are conducted in accordance with Good Clinical Practice, or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76" w:lineRule="exact"/>
        <w:rPr>
          <w:sz w:val="20"/>
          <w:szCs w:val="20"/>
          <w:color w:val="auto"/>
        </w:rPr>
      </w:pPr>
    </w:p>
    <w:p>
      <w:pPr>
        <w:jc w:val="both"/>
        <w:ind w:right="140"/>
        <w:spacing w:after="0" w:line="264" w:lineRule="auto"/>
        <w:rPr>
          <w:sz w:val="20"/>
          <w:szCs w:val="20"/>
          <w:color w:val="auto"/>
        </w:rPr>
      </w:pPr>
      <w:r>
        <w:rPr>
          <w:rFonts w:ascii="Arial" w:cs="Arial" w:eastAsia="Arial" w:hAnsi="Arial"/>
          <w:sz w:val="16"/>
          <w:szCs w:val="16"/>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1" w:name="page82"/>
    <w:bookmarkEnd w:id="81"/>
    <w:p>
      <w:pPr>
        <w:ind w:right="60"/>
        <w:spacing w:after="0" w:line="261"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If our third-party manufacturer of VDPHL01 is unable to increase the scale of its production or we are not able to qualify additional manufacturers, then commercialization may be delayed or interrupted.</w:t>
      </w:r>
    </w:p>
    <w:p>
      <w:pPr>
        <w:spacing w:after="0" w:line="9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In order to produce sufficient quantities to meet the commercial demand for VDPHL01, if approved, our third-party manufacturers may be required to increase their production and optimize their manufacturing processes while maintaining the quality of VDPHL01. The transition to larger scale production could prove difficult. In addition, if we are unable to qualify additional manufacturers or our third-party manufacturers are not able to produce increased amounts of our product candidates to meet demand while maintaining the same quality then we may not be able to meet market demand for VDPHL01, which could decrease our ability to generate profits and have a material adverse impact on our business and results of operations.</w:t>
      </w:r>
    </w:p>
    <w:p>
      <w:pPr>
        <w:spacing w:after="0" w:line="171" w:lineRule="exact"/>
        <w:rPr>
          <w:sz w:val="20"/>
          <w:szCs w:val="20"/>
          <w:color w:val="auto"/>
        </w:rPr>
      </w:pPr>
    </w:p>
    <w:p>
      <w:pPr>
        <w:spacing w:after="0" w:line="315" w:lineRule="auto"/>
        <w:rPr>
          <w:sz w:val="20"/>
          <w:szCs w:val="20"/>
          <w:color w:val="auto"/>
        </w:rPr>
      </w:pPr>
      <w:r>
        <w:rPr>
          <w:rFonts w:ascii="Arial" w:cs="Arial" w:eastAsia="Arial" w:hAnsi="Arial"/>
          <w:sz w:val="16"/>
          <w:szCs w:val="16"/>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i w:val="1"/>
          <w:iCs w:val="1"/>
          <w:color w:val="auto"/>
        </w:rPr>
        <w:t>The operations of our supplier for minoxidil API for VDPHL01 are located outside of the United States and are subject to additional risks that are beyond our control and that could harm our business, financial condition, results of operations and prospects.</w:t>
      </w:r>
    </w:p>
    <w:p>
      <w:pPr>
        <w:spacing w:after="0" w:line="79"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Currently, our supplier for minoxidil API for VDPHL01 primarily operates outside of the United States. As a result, we are subject to risks associated with doing business abroad, including:</w:t>
      </w:r>
    </w:p>
    <w:p>
      <w:pPr>
        <w:spacing w:after="0" w:line="80" w:lineRule="exact"/>
        <w:rPr>
          <w:sz w:val="20"/>
          <w:szCs w:val="20"/>
          <w:color w:val="auto"/>
        </w:rPr>
      </w:pPr>
    </w:p>
    <w:p>
      <w:pPr>
        <w:ind w:left="300" w:right="60" w:hanging="298"/>
        <w:spacing w:after="0" w:line="275" w:lineRule="auto"/>
        <w:tabs>
          <w:tab w:leader="none" w:pos="299"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geopolitical tensions, political unrest, terrorism, labor disputes and economic instability resulting in the disruption of trade from foreign countries in which our products are manufactured, particularly China;</w:t>
      </w:r>
    </w:p>
    <w:p>
      <w:pPr>
        <w:ind w:left="300" w:right="100" w:hanging="298"/>
        <w:spacing w:after="0" w:line="267" w:lineRule="auto"/>
        <w:tabs>
          <w:tab w:leader="none" w:pos="299"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w:t>
      </w:r>
    </w:p>
    <w:p>
      <w:pPr>
        <w:ind w:left="300" w:right="140" w:hanging="298"/>
        <w:spacing w:after="0" w:line="275" w:lineRule="auto"/>
        <w:tabs>
          <w:tab w:leader="none" w:pos="299"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greater challenges and increased costs with enforcing and periodically auditing or reviewing our suppliers’ and manufacturers’ compliance with cGMPs or status acceptable to the FDA or comparable foreign regulatory authorities;</w:t>
      </w:r>
    </w:p>
    <w:p>
      <w:pPr>
        <w:ind w:left="300" w:hanging="298"/>
        <w:spacing w:after="0"/>
        <w:tabs>
          <w:tab w:leader="none" w:pos="300"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reduced protection for intellectual property rights, including trade secret protection, in some countries, particularly China;</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disruptions in operations due to global, regional, or local epidemics, pandemics and other public health crises, or other emergencies or natural disasters;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disruptions or delays in shipments;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3"/>
        </w:numPr>
        <w:rPr>
          <w:rFonts w:ascii="Wingdings" w:cs="Wingdings" w:eastAsia="Wingdings" w:hAnsi="Wingdings"/>
          <w:sz w:val="12"/>
          <w:szCs w:val="12"/>
          <w:b w:val="1"/>
          <w:bCs w:val="1"/>
          <w:color w:val="auto"/>
        </w:rPr>
      </w:pPr>
      <w:r>
        <w:rPr>
          <w:rFonts w:ascii="Arial" w:cs="Arial" w:eastAsia="Arial" w:hAnsi="Arial"/>
          <w:sz w:val="16"/>
          <w:szCs w:val="16"/>
          <w:color w:val="auto"/>
        </w:rPr>
        <w:t>changes in local economic conditions in countries where our manufacturers or suppliers are located.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2" w:name="page83"/>
    <w:bookmarkEnd w:id="82"/>
    <w:p>
      <w:pPr>
        <w:ind w:right="100"/>
        <w:spacing w:after="0" w:line="270" w:lineRule="auto"/>
        <w:rPr>
          <w:sz w:val="20"/>
          <w:szCs w:val="20"/>
          <w:color w:val="auto"/>
        </w:rPr>
      </w:pPr>
      <w:r>
        <w:rPr>
          <w:rFonts w:ascii="Arial" w:cs="Arial" w:eastAsia="Arial" w:hAnsi="Arial"/>
          <w:sz w:val="16"/>
          <w:szCs w:val="16"/>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75" w:lineRule="exact"/>
        <w:rPr>
          <w:sz w:val="20"/>
          <w:szCs w:val="20"/>
          <w:color w:val="auto"/>
        </w:rPr>
      </w:pPr>
    </w:p>
    <w:p>
      <w:pPr>
        <w:ind w:right="800"/>
        <w:spacing w:after="0" w:line="298" w:lineRule="auto"/>
        <w:rPr>
          <w:sz w:val="20"/>
          <w:szCs w:val="20"/>
          <w:color w:val="auto"/>
        </w:rPr>
      </w:pPr>
      <w:r>
        <w:rPr>
          <w:rFonts w:ascii="Arial" w:cs="Arial" w:eastAsia="Arial" w:hAnsi="Arial"/>
          <w:sz w:val="16"/>
          <w:szCs w:val="16"/>
          <w:b w:val="1"/>
          <w:bCs w:val="1"/>
          <w:i w:val="1"/>
          <w:iCs w:val="1"/>
          <w:color w:val="auto"/>
        </w:rPr>
        <w:t>Risks associated with the in-licensing or acquisition of product candidates could cause substantial delays in the preclinical and clinical development of our product candidates.</w:t>
      </w:r>
    </w:p>
    <w:p>
      <w:pPr>
        <w:spacing w:after="0" w:line="79"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We may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w:t>
      </w:r>
      <w:r>
        <w:rPr>
          <w:rFonts w:ascii="Arial" w:cs="Arial" w:eastAsia="Arial" w:hAnsi="Arial"/>
          <w:sz w:val="16"/>
          <w:szCs w:val="16"/>
          <w:u w:val="single" w:color="auto"/>
          <w:color w:val="0000FF"/>
        </w:rPr>
        <w:t>Risks Related to Our Intellectual Property—</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u w:val="single" w:color="auto"/>
          <w:color w:val="0000FF"/>
        </w:rPr>
        <w:t>Our commercial success depends on our ability to obtain and maintain sufficient intellectual property protection for VDPHL01 and our other current and any future product candidates and other proprietary technologies.</w:t>
      </w:r>
      <w:r>
        <w:rPr>
          <w:rFonts w:ascii="Arial" w:cs="Arial" w:eastAsia="Arial" w:hAnsi="Arial"/>
          <w:sz w:val="16"/>
          <w:szCs w:val="16"/>
          <w:color w:val="000000"/>
        </w:rPr>
        <w:t>” for additional information regarding such risks.</w:t>
      </w:r>
    </w:p>
    <w:p>
      <w:pPr>
        <w:spacing w:after="0" w:line="15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i w:val="1"/>
          <w:iCs w:val="1"/>
          <w:color w:val="auto"/>
        </w:rPr>
        <w:t>We may seek to enter into collaborations, licenses and other similar arrangements for VDPHL01 or any of our other current or future product candidates and may not be successful in doing so, and even if we are, we may relinquish valuable rights and may not realize the benefits of such relationships.</w:t>
      </w:r>
    </w:p>
    <w:p>
      <w:pPr>
        <w:spacing w:after="0" w:line="9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VDPHL01 outside of the United States or of any of our other current or future product candidates, due to capital costs required to develop or commercialize our product candidates or manufacturing constraints. Such collaborative efforts may not be profitable. We may not be successful in our efforts to establish or maintain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is often time-consuming and complex. We likely would relinquish valuable rights to our future revenue streams, research programs or product candidates, or may grant licenses on terms that may not be favorable to us, as part of any such arrangement, and such arrangements restrict us from entering into additional agreements with other potential licensing and collaboration partners. We may not achieve an economic benefit that justifies any such transaction.</w:t>
      </w:r>
    </w:p>
    <w:p>
      <w:pPr>
        <w:spacing w:after="0" w:line="371"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The success of any collaboration arrangements will depend heavily on the efforts and activities of our collaborators. Collaborations are subject to numerous risks, which may include that:</w:t>
      </w:r>
    </w:p>
    <w:p>
      <w:pPr>
        <w:spacing w:after="0" w:line="54" w:lineRule="exact"/>
        <w:rPr>
          <w:sz w:val="20"/>
          <w:szCs w:val="20"/>
          <w:color w:val="auto"/>
        </w:rPr>
      </w:pPr>
    </w:p>
    <w:p>
      <w:pPr>
        <w:ind w:left="300" w:hanging="298"/>
        <w:spacing w:after="0"/>
        <w:tabs>
          <w:tab w:leader="none" w:pos="300"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46" w:lineRule="exact"/>
        <w:rPr>
          <w:rFonts w:ascii="Wingdings" w:cs="Wingdings" w:eastAsia="Wingdings" w:hAnsi="Wingdings"/>
          <w:sz w:val="12"/>
          <w:szCs w:val="12"/>
          <w:b w:val="1"/>
          <w:bCs w:val="1"/>
          <w:color w:val="auto"/>
        </w:rPr>
      </w:pPr>
    </w:p>
    <w:p>
      <w:pPr>
        <w:ind w:left="300" w:right="240" w:hanging="298"/>
        <w:spacing w:after="0" w:line="267"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ind w:left="300" w:right="660" w:hanging="298"/>
        <w:spacing w:after="0" w:line="275"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w:t>
      </w:r>
    </w:p>
    <w:p>
      <w:pPr>
        <w:ind w:left="300" w:right="380" w:hanging="298"/>
        <w:spacing w:after="0" w:line="275"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a collaborator with marketing, manufacturing and distribution rights to one or more products may not commit sufficient resources to or otherwise not perform satisfactorily in carrying out these activities;</w:t>
      </w:r>
    </w:p>
    <w:p>
      <w:pPr>
        <w:ind w:left="300" w:hanging="298"/>
        <w:spacing w:after="0"/>
        <w:tabs>
          <w:tab w:leader="none" w:pos="300"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46" w:lineRule="exact"/>
        <w:rPr>
          <w:rFonts w:ascii="Wingdings" w:cs="Wingdings" w:eastAsia="Wingdings" w:hAnsi="Wingdings"/>
          <w:sz w:val="12"/>
          <w:szCs w:val="12"/>
          <w:b w:val="1"/>
          <w:bCs w:val="1"/>
          <w:color w:val="auto"/>
        </w:rPr>
      </w:pPr>
    </w:p>
    <w:p>
      <w:pPr>
        <w:ind w:left="300" w:right="120" w:hanging="298"/>
        <w:spacing w:after="0" w:line="272"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 w:lineRule="exact"/>
        <w:rPr>
          <w:rFonts w:ascii="Wingdings" w:cs="Wingdings" w:eastAsia="Wingdings" w:hAnsi="Wingdings"/>
          <w:sz w:val="12"/>
          <w:szCs w:val="12"/>
          <w:b w:val="1"/>
          <w:bCs w:val="1"/>
          <w:color w:val="auto"/>
        </w:rPr>
      </w:pPr>
    </w:p>
    <w:p>
      <w:pPr>
        <w:ind w:left="300" w:right="60" w:hanging="298"/>
        <w:spacing w:after="0" w:line="275"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ind w:left="300" w:right="240" w:hanging="298"/>
        <w:spacing w:after="0" w:line="275"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products;</w:t>
      </w:r>
    </w:p>
    <w:p>
      <w:pPr>
        <w:ind w:left="300" w:right="160" w:hanging="298"/>
        <w:spacing w:after="0" w:line="290" w:lineRule="auto"/>
        <w:tabs>
          <w:tab w:leader="none" w:pos="299" w:val="left"/>
        </w:tabs>
        <w:numPr>
          <w:ilvl w:val="0"/>
          <w:numId w:val="44"/>
        </w:numPr>
        <w:rPr>
          <w:rFonts w:ascii="Wingdings" w:cs="Wingdings" w:eastAsia="Wingdings" w:hAnsi="Wingdings"/>
          <w:sz w:val="12"/>
          <w:szCs w:val="12"/>
          <w:b w:val="1"/>
          <w:bCs w:val="1"/>
          <w:color w:val="auto"/>
        </w:rPr>
      </w:pPr>
      <w:r>
        <w:rPr>
          <w:rFonts w:ascii="Arial" w:cs="Arial" w:eastAsia="Arial" w:hAnsi="Arial"/>
          <w:sz w:val="16"/>
          <w:szCs w:val="16"/>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200" w:lineRule="exact"/>
        <w:rPr>
          <w:sz w:val="20"/>
          <w:szCs w:val="20"/>
          <w:color w:val="auto"/>
        </w:rPr>
      </w:pP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3" w:name="page84"/>
    <w:bookmarkEnd w:id="83"/>
    <w:p>
      <w:pPr>
        <w:ind w:left="300" w:right="940" w:hanging="298"/>
        <w:spacing w:after="0" w:line="290" w:lineRule="auto"/>
        <w:tabs>
          <w:tab w:leader="none" w:pos="299" w:val="left"/>
        </w:tabs>
        <w:numPr>
          <w:ilvl w:val="0"/>
          <w:numId w:val="45"/>
        </w:numPr>
        <w:rPr>
          <w:rFonts w:ascii="Wingdings" w:cs="Wingdings" w:eastAsia="Wingdings" w:hAnsi="Wingdings"/>
          <w:sz w:val="12"/>
          <w:szCs w:val="12"/>
          <w:b w:val="1"/>
          <w:bCs w:val="1"/>
          <w:color w:val="auto"/>
        </w:rPr>
      </w:pPr>
      <w:r>
        <w:rPr>
          <w:rFonts w:ascii="Arial" w:cs="Arial" w:eastAsia="Arial" w:hAnsi="Arial"/>
          <w:sz w:val="16"/>
          <w:szCs w:val="16"/>
          <w:color w:val="auto"/>
        </w:rPr>
        <w:t>a collaborator’s sales and marketing activities or other operations may not be in compliance with applicable laws resulting in civil or criminal proceedings.</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Even if we are successful in our efforts to establish such collaborations, the terms that we agree upon may not be favorable to us, and we may not be able to maintain such collaborations if, for example, the development or approval of VDPHL01 or any of our other current or future product candidates is delayed, the safety of VDPHL01 or any of our other current or future product candidates is questioned or the sales of an approved product candidate are unsatisfactory.</w:t>
      </w:r>
    </w:p>
    <w:p>
      <w:pPr>
        <w:spacing w:after="0" w:line="35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any potential future collaborations may be terminable by our strategic partners, and we may not be able to adequately protect our rights under these agreements. Furthermore, strategic partners often negotiate for certain rights to control decisions regarding the development and commercialization of product candidates and products, if approved, and may not conduct those activities in the same manner as we do. Any termination of collaborations we enter into in the future, or any delay in entering into collaborations related to VDPHL01 or any of our other current or future product candidates, would delay the development and commercialization of such product or product candidate and reduce their competitiveness if they reach the market, which could have a material adverse effect on our business, financial condition and results of operations.</w:t>
      </w:r>
    </w:p>
    <w:p>
      <w:pPr>
        <w:spacing w:after="0" w:line="17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i w:val="1"/>
          <w:iCs w:val="1"/>
          <w:color w:val="auto"/>
        </w:rPr>
        <w:t>Our reliance on third parties requires us to share our trade secrets, know-how and other proprietary information, which increases the possibility that a competitor will discover them or that our trade secrets will be misappropriated or disclosed.</w:t>
      </w:r>
    </w:p>
    <w:p>
      <w:pPr>
        <w:spacing w:after="0" w:line="9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Because we currently rely on third parties to manufacture our product candidates and to perform other preclinical and clinical services, we must, at times, share our proprietary information, including trade secrets and know-how, with them. We seek to protect our proprietary information, in part, by entering into confidentiality agreements, and, if applicable, material transfer agreements, collaborative research agreements, consulting agreements or other similar agreements with our CROs, CMOs, advisors, employees and consultants prior to beginning research or disclosing proprietary information. These agreements typically limit the rights of the third parties to use or disclose our proprietary information. Despite the contractual provisions employed when working with third parties, the need to share trade secrets, know-how and other proprietary information increases the risk that such proprietary information become known by our competitors, are intentionally or inadvertently incorporated into the technology of others or are disclosed or used in violation of these agreements. We rely, in part, on trade secrets, know-how and other proprietary information to develop and maintain our competitive position and a competitor’s discovery of our proprietary information or other unauthorized use or disclosure would impair our competitive position and may have a material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16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various aspects of the development program, such as manufacturing methods and formulation, may be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or comparable foreign regulatory requirements.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and liquid trading market for our common stock may not be sustained.</w:t>
      </w:r>
    </w:p>
    <w:p>
      <w:pPr>
        <w:spacing w:after="0" w:line="160"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Our common stock is listed on NYSE under the symbol “MANE.” If an active or liquid trading market is not sustained, our stockholders may be unable to resell shares of our common stock at a price that a stockholder considers reasonable. Furthermore, an inactive market may reduce the fair market value of your shares, impact our ability to raise capital by selling shares of our common stock in the future, and may impair our ability to enter into strategic collaborations or acquire companies or products by using our shares of common stock as consideration.</w:t>
      </w:r>
    </w:p>
    <w:p>
      <w:pPr>
        <w:spacing w:after="0" w:line="200" w:lineRule="exact"/>
        <w:rPr>
          <w:sz w:val="20"/>
          <w:szCs w:val="20"/>
          <w:color w:val="auto"/>
        </w:rPr>
      </w:pP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investors.</w:t>
      </w:r>
    </w:p>
    <w:p>
      <w:pPr>
        <w:spacing w:after="0" w:line="16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Since shares of our common stock were sold in our IPO in February 2026 at a price of $17.00 per share and through May 1, 2026, the per share price of our common stock has ranged from $17.00 to $114.50. Some of the factors that may cause the market price of our common stock to fluctuate include:</w:t>
      </w:r>
    </w:p>
    <w:p>
      <w:pPr>
        <w:spacing w:after="0" w:line="80" w:lineRule="exact"/>
        <w:rPr>
          <w:sz w:val="20"/>
          <w:szCs w:val="20"/>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volatility in our operating results or the failure of our operating results to meet the expectations of investors or securities analysts;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success of existing or new competitive product candidates or technologies;</w:t>
      </w:r>
    </w:p>
    <w:p>
      <w:pPr>
        <w:spacing w:after="0" w:line="46" w:lineRule="exact"/>
        <w:rPr>
          <w:rFonts w:ascii="Wingdings" w:cs="Wingdings" w:eastAsia="Wingdings" w:hAnsi="Wingdings"/>
          <w:sz w:val="12"/>
          <w:szCs w:val="12"/>
          <w:b w:val="1"/>
          <w:bCs w:val="1"/>
          <w:color w:val="auto"/>
        </w:rPr>
      </w:pPr>
    </w:p>
    <w:p>
      <w:pPr>
        <w:ind w:left="300" w:right="140" w:hanging="298"/>
        <w:spacing w:after="0" w:line="275" w:lineRule="auto"/>
        <w:tabs>
          <w:tab w:leader="none" w:pos="299"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timing and results of preclinical and clinical studies for any product candidates that we may develop or changes in the development status of any of these programs;</w:t>
      </w: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any delay in our regulatory filings for VDPHL01 or our other current or any future product candidates;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failure or discontinuation of any of our product development and research programs;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our failure to commercialize VDPHL01 or our other current or any future product candidates;</w:t>
      </w:r>
    </w:p>
    <w:p>
      <w:pPr>
        <w:spacing w:after="0" w:line="33" w:lineRule="exact"/>
        <w:rPr>
          <w:rFonts w:ascii="Wingdings" w:cs="Wingdings" w:eastAsia="Wingdings" w:hAnsi="Wingdings"/>
          <w:sz w:val="12"/>
          <w:szCs w:val="12"/>
          <w:b w:val="1"/>
          <w:bCs w:val="1"/>
          <w:color w:val="auto"/>
        </w:rPr>
      </w:pPr>
    </w:p>
    <w:p>
      <w:pPr>
        <w:ind w:left="300" w:right="400" w:hanging="298"/>
        <w:spacing w:after="0" w:line="283" w:lineRule="auto"/>
        <w:tabs>
          <w:tab w:leader="none" w:pos="299"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results of preclinical studies, clinical trials, or regulatory approvals of product candidates of our competitors, or announcements about new research programs or product candidates of our competitors;</w:t>
      </w:r>
    </w:p>
    <w:p>
      <w:pPr>
        <w:spacing w:after="0" w:line="1"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commencement or termination of collaborations for our product development and research programs;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regulatory or legal developments in the United States and other countries;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developments or disputes concerning patent applications, issued patents, or other proprietary rights;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recruitment or departure of key personnel;</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level of expenses related to any of our research programs or product candidates that we may develop;</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results of our efforts to develop additional product candidates or products;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announcement or expectation of additional financing efforts;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sales or perceived potential sales of our common stock by us, our insiders or other stockholders;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expiration of market stand-off or lock-up agreements;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any changes to our relationship with manufacturers, suppliers, collaborators or other strategic partners;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manufacturing or supply shortages;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variations in our financial results or those of companies that are perceived to be similar to us;</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changes in estimates or recommendations by securities analysts, if any, that cover our stock;</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press reports, whether or not true, about our business;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our failure to meet the estimates and projections of the investment community or that we may otherwise provide to the public;</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changes in the structure of healthcare payment systems;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fluctuations in the valuation of companies perceived by investors to be comparable to us;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announcement or expectation of additional financing efforts;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inability to obtain additional funding;</w:t>
      </w:r>
    </w:p>
    <w:p>
      <w:pPr>
        <w:spacing w:after="0" w:line="33"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market conditions in the pharmaceutical and biotechnology sectors;</w:t>
      </w:r>
    </w:p>
    <w:p>
      <w:pPr>
        <w:spacing w:after="0" w:line="46" w:lineRule="exact"/>
        <w:rPr>
          <w:rFonts w:ascii="Wingdings" w:cs="Wingdings" w:eastAsia="Wingdings" w:hAnsi="Wingdings"/>
          <w:sz w:val="12"/>
          <w:szCs w:val="12"/>
          <w:b w:val="1"/>
          <w:bCs w:val="1"/>
          <w:color w:val="auto"/>
        </w:rPr>
      </w:pPr>
    </w:p>
    <w:p>
      <w:pPr>
        <w:ind w:left="300" w:hanging="298"/>
        <w:spacing w:after="0" w:line="275" w:lineRule="auto"/>
        <w:tabs>
          <w:tab w:leader="none" w:pos="299"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general global economic, industry, political and market conditions, such as military conflict or war, inflation and financial institution instability, or pandemic or epidemic disease outbreaks, many of which are beyond our control; and</w:t>
      </w:r>
    </w:p>
    <w:p>
      <w:pPr>
        <w:ind w:left="300" w:hanging="298"/>
        <w:spacing w:after="0"/>
        <w:tabs>
          <w:tab w:leader="none" w:pos="300" w:val="left"/>
        </w:tabs>
        <w:numPr>
          <w:ilvl w:val="0"/>
          <w:numId w:val="46"/>
        </w:numPr>
        <w:rPr>
          <w:rFonts w:ascii="Wingdings" w:cs="Wingdings" w:eastAsia="Wingdings" w:hAnsi="Wingdings"/>
          <w:sz w:val="12"/>
          <w:szCs w:val="12"/>
          <w:b w:val="1"/>
          <w:bCs w:val="1"/>
          <w:color w:val="auto"/>
        </w:rPr>
      </w:pPr>
      <w:r>
        <w:rPr>
          <w:rFonts w:ascii="Arial" w:cs="Arial" w:eastAsia="Arial" w:hAnsi="Arial"/>
          <w:sz w:val="16"/>
          <w:szCs w:val="16"/>
          <w:color w:val="auto"/>
        </w:rPr>
        <w:t>the other factors described in this “</w:t>
      </w:r>
      <w:r>
        <w:rPr>
          <w:rFonts w:ascii="Arial" w:cs="Arial" w:eastAsia="Arial" w:hAnsi="Arial"/>
          <w:sz w:val="16"/>
          <w:szCs w:val="16"/>
          <w:u w:val="single" w:color="auto"/>
          <w:color w:val="0000FF"/>
        </w:rPr>
        <w:t>Risk Factors</w:t>
      </w:r>
      <w:r>
        <w:rPr>
          <w:rFonts w:ascii="Arial" w:cs="Arial" w:eastAsia="Arial" w:hAnsi="Arial"/>
          <w:sz w:val="16"/>
          <w:szCs w:val="16"/>
          <w:color w:val="auto"/>
        </w:rPr>
        <w:t>” section and elsewhere in this Quarterly Report, including those which are outside of our control.</w:t>
      </w:r>
    </w:p>
    <w:p>
      <w:pPr>
        <w:spacing w:after="0" w:line="213"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 recent years, the stock market in general, and the market for biopharmaceutical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200" w:lineRule="exact"/>
        <w:rPr>
          <w:sz w:val="20"/>
          <w:szCs w:val="20"/>
          <w:color w:val="auto"/>
        </w:rPr>
      </w:pPr>
    </w:p>
    <w:p>
      <w:pPr>
        <w:spacing w:after="0" w:line="3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right="320"/>
        <w:spacing w:after="0" w:line="298" w:lineRule="auto"/>
        <w:rPr>
          <w:sz w:val="20"/>
          <w:szCs w:val="20"/>
          <w:color w:val="auto"/>
        </w:rPr>
      </w:pPr>
      <w:r>
        <w:rPr>
          <w:rFonts w:ascii="Arial" w:cs="Arial" w:eastAsia="Arial" w:hAnsi="Arial"/>
          <w:sz w:val="16"/>
          <w:szCs w:val="16"/>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79" w:lineRule="exact"/>
        <w:rPr>
          <w:sz w:val="20"/>
          <w:szCs w:val="20"/>
          <w:color w:val="auto"/>
        </w:rPr>
      </w:pPr>
    </w:p>
    <w:p>
      <w:pPr>
        <w:ind w:right="500"/>
        <w:spacing w:after="0" w:line="307" w:lineRule="auto"/>
        <w:rPr>
          <w:sz w:val="20"/>
          <w:szCs w:val="20"/>
          <w:color w:val="auto"/>
        </w:rPr>
      </w:pPr>
      <w:r>
        <w:rPr>
          <w:rFonts w:ascii="Arial" w:cs="Arial" w:eastAsia="Arial" w:hAnsi="Arial"/>
          <w:sz w:val="16"/>
          <w:szCs w:val="16"/>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54" w:lineRule="exact"/>
        <w:rPr>
          <w:sz w:val="20"/>
          <w:szCs w:val="20"/>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variations in the level of expense related to the ongoing development of VDPHL01 or future development programs;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results and timing of preclinical studies and ongoing and future clinical trials, or the addition or termination of any such clinical trials;</w:t>
      </w:r>
    </w:p>
    <w:p>
      <w:pPr>
        <w:spacing w:after="0" w:line="46" w:lineRule="exact"/>
        <w:rPr>
          <w:rFonts w:ascii="Wingdings" w:cs="Wingdings" w:eastAsia="Wingdings" w:hAnsi="Wingdings"/>
          <w:sz w:val="12"/>
          <w:szCs w:val="12"/>
          <w:b w:val="1"/>
          <w:bCs w:val="1"/>
          <w:color w:val="auto"/>
        </w:rPr>
      </w:pPr>
    </w:p>
    <w:p>
      <w:pPr>
        <w:ind w:left="300" w:right="520" w:hanging="298"/>
        <w:spacing w:after="0" w:line="275" w:lineRule="auto"/>
        <w:tabs>
          <w:tab w:leader="none" w:pos="299"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our execution of any strategic transactions, including acquisitions, collaborations, licenses, or similar arrangements, and the timing and amount of payments we may make or receive in connection with such transactions;</w:t>
      </w: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any intellectual property infringement lawsuit or opposition, interference, or cancellation proceeding in which we may become involved;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recruitment and departures of key personnel;</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if our product candidate receives regulatory approval in the future, the terms of such approval, and market acceptance and demand for such products;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regulatory developments affecting our product candidate or those of our competitors;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global or regional public health emergencies, including any health epidemics and their residual effects, natural disasters, or major catastrophic events;</w:t>
      </w:r>
    </w:p>
    <w:p>
      <w:pPr>
        <w:spacing w:after="0" w:line="33" w:lineRule="exact"/>
        <w:rPr>
          <w:rFonts w:ascii="Wingdings" w:cs="Wingdings" w:eastAsia="Wingdings" w:hAnsi="Wingdings"/>
          <w:sz w:val="12"/>
          <w:szCs w:val="12"/>
          <w:b w:val="1"/>
          <w:bCs w:val="1"/>
          <w:color w:val="auto"/>
        </w:rPr>
      </w:pPr>
    </w:p>
    <w:p>
      <w:pPr>
        <w:ind w:left="300" w:right="140" w:hanging="298"/>
        <w:spacing w:after="0" w:line="275" w:lineRule="auto"/>
        <w:tabs>
          <w:tab w:leader="none" w:pos="299"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adverse macroeconomic conditions or geopolitical events, including United States and Israeli military actions against Iran, the conflict between Ukraine and Russia, the conflict between Israel and Hamas, high levels of inflation, heightened interest rates, and bank failures;</w:t>
      </w: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the impacts of inflation and rising interest rates on our business and operations; and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7"/>
        </w:numPr>
        <w:rPr>
          <w:rFonts w:ascii="Wingdings" w:cs="Wingdings" w:eastAsia="Wingdings" w:hAnsi="Wingdings"/>
          <w:sz w:val="12"/>
          <w:szCs w:val="12"/>
          <w:b w:val="1"/>
          <w:bCs w:val="1"/>
          <w:color w:val="auto"/>
        </w:rPr>
      </w:pPr>
      <w:r>
        <w:rPr>
          <w:rFonts w:ascii="Arial" w:cs="Arial" w:eastAsia="Arial" w:hAnsi="Arial"/>
          <w:sz w:val="16"/>
          <w:szCs w:val="16"/>
          <w:color w:val="auto"/>
        </w:rPr>
        <w:t>changes in general market and economic conditions.</w:t>
      </w:r>
    </w:p>
    <w:p>
      <w:pPr>
        <w:spacing w:after="0" w:line="213"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63"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b w:val="1"/>
          <w:bCs w:val="1"/>
          <w:i w:val="1"/>
          <w:iCs w:val="1"/>
          <w:color w:val="auto"/>
        </w:rPr>
        <w:t>A significant portion of our total outstanding shares are, as of the date of filing this Quarterly Report on Form 10-Q, restricted from immediate resale but may be sold into the market upon expiration of the lock-up agreement entered into in connection with our IPO, which could cause the market price of our common stock to decline significantly, even if our business is doing well.</w:t>
      </w:r>
    </w:p>
    <w:p>
      <w:pPr>
        <w:spacing w:after="0" w:line="9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upon the expiration of the lock-up agreements entered into by holders of substantially all of our common stock outstanding immediately prior to our IPO, or the perception in the market that the holders of a large number of shares of common stock intend to sell shares, could reduce the market price of our common stock. As of May 7, 2026, we had 41,778,687 shares of common stock outstanding. Of these shares, 17,339,294 shares sold in our IPO and 4,420,358 shares sold in the Public Offering may be resold in the public market immediately, unless held by our affiliates. The remaining shares are currently restricted under securities laws or other agreements, subject in some cases to applicable volume limitations under Rule 144 beginning after the close of trading on August 2, 2026.</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Additionally, holders of an aggregate of approximately 23,594,826 shares of our common stock, excluding shares purchased by non-affiliates in or after the IPO, will have rights, subject to conditions, to require us to file registration statements covering their shares or to include their shares in registration statements that we may file for ourselves or other stockholders. We have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and the lock-up agreements entered into in connection with our IPO. If any of these additional shares are sold, or if it is perceived that they will be sold, in the public market,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ind w:right="600"/>
        <w:spacing w:after="0" w:line="298" w:lineRule="auto"/>
        <w:rPr>
          <w:sz w:val="20"/>
          <w:szCs w:val="20"/>
          <w:color w:val="auto"/>
        </w:rPr>
      </w:pPr>
      <w:r>
        <w:rPr>
          <w:rFonts w:ascii="Arial" w:cs="Arial" w:eastAsia="Arial" w:hAnsi="Arial"/>
          <w:sz w:val="16"/>
          <w:szCs w:val="16"/>
          <w:b w:val="1"/>
          <w:bCs w:val="1"/>
          <w:i w:val="1"/>
          <w:iCs w:val="1"/>
          <w:color w:val="auto"/>
        </w:rPr>
        <w:t>Insiders have substantial influence over us, which could limit your ability to affect the outcome of key transactions, including a change of control.</w:t>
      </w:r>
    </w:p>
    <w:p>
      <w:pPr>
        <w:spacing w:after="0" w:line="7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directors, executive officers and greater than 5% stockholders and their affiliates, in the aggregate, beneficially own shares representing approximately 43% of our outstanding common stock as of May 7, 2026.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8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common stock in the foreseeable future, capital appreciation, if any, will be your sole source of gain.</w:t>
      </w:r>
    </w:p>
    <w:p>
      <w:pPr>
        <w:spacing w:after="0" w:line="79"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See the section titled “</w:t>
      </w:r>
      <w:r>
        <w:rPr>
          <w:rFonts w:ascii="Arial" w:cs="Arial" w:eastAsia="Arial" w:hAnsi="Arial"/>
          <w:sz w:val="16"/>
          <w:szCs w:val="16"/>
          <w:u w:val="single" w:color="auto"/>
          <w:color w:val="0000FF"/>
        </w:rPr>
        <w:t>Dividend Policy</w:t>
      </w:r>
      <w:r>
        <w:rPr>
          <w:rFonts w:ascii="Arial" w:cs="Arial" w:eastAsia="Arial" w:hAnsi="Arial"/>
          <w:sz w:val="16"/>
          <w:szCs w:val="16"/>
          <w:color w:val="auto"/>
        </w:rPr>
        <w:t>” for additional information.</w:t>
      </w:r>
    </w:p>
    <w:p>
      <w:pPr>
        <w:spacing w:after="0" w:line="18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the reduced disclosure requirements applicable to emerging growth and smaller reporting companies may make our common stock less attractive to investors.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an “emerging growth company,” as defined in the JOBS Act and we may remain an emerging growth company until December 31, 2031.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our Annual Report on Form 10-K, we did not include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368"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and proxy statements.</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7" w:name="page88"/>
    <w:bookmarkEnd w:id="87"/>
    <w:p>
      <w:pPr>
        <w:ind w:right="80"/>
        <w:spacing w:after="0" w:line="274" w:lineRule="auto"/>
        <w:rPr>
          <w:sz w:val="20"/>
          <w:szCs w:val="20"/>
          <w:color w:val="auto"/>
        </w:rPr>
      </w:pPr>
      <w:r>
        <w:rPr>
          <w:rFonts w:ascii="Arial" w:cs="Arial" w:eastAsia="Arial" w:hAnsi="Arial"/>
          <w:sz w:val="16"/>
          <w:szCs w:val="16"/>
          <w:b w:val="1"/>
          <w:bCs w:val="1"/>
          <w:i w:val="1"/>
          <w:iCs w:val="1"/>
          <w:color w:val="auto"/>
        </w:rPr>
        <w:t>Provisions in our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11"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Our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restated certificate of incorporation and amended and restated bylaws include provisions that:</w:t>
      </w:r>
    </w:p>
    <w:p>
      <w:pPr>
        <w:spacing w:after="0" w:line="96" w:lineRule="exact"/>
        <w:rPr>
          <w:sz w:val="20"/>
          <w:szCs w:val="20"/>
          <w:color w:val="auto"/>
        </w:rPr>
      </w:pPr>
    </w:p>
    <w:p>
      <w:pPr>
        <w:ind w:left="300" w:right="160" w:hanging="298"/>
        <w:spacing w:after="0" w:line="275" w:lineRule="auto"/>
        <w:tabs>
          <w:tab w:leader="none" w:pos="299"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authorize “blank check” preferred stock, which could be issued by our Board without stockholder approval and may contain voting, liquidation, dividend and other rights superior to our common stock;</w:t>
      </w: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create a classified board of directors whose members serve staggered three-year terms;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specify that special meetings of our stockholders can be called only by our Board;</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prohibit stockholder action by written consent;</w:t>
      </w:r>
    </w:p>
    <w:p>
      <w:pPr>
        <w:spacing w:after="0" w:line="33" w:lineRule="exact"/>
        <w:rPr>
          <w:rFonts w:ascii="Wingdings" w:cs="Wingdings" w:eastAsia="Wingdings" w:hAnsi="Wingdings"/>
          <w:sz w:val="12"/>
          <w:szCs w:val="12"/>
          <w:b w:val="1"/>
          <w:bCs w:val="1"/>
          <w:color w:val="auto"/>
        </w:rPr>
      </w:pPr>
    </w:p>
    <w:p>
      <w:pPr>
        <w:ind w:left="300" w:right="560" w:hanging="298"/>
        <w:spacing w:after="0" w:line="275" w:lineRule="auto"/>
        <w:tabs>
          <w:tab w:leader="none" w:pos="299"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establish an advance notice procedure for stockholder approvals to be brought before an annual meeting of our stockholders, including proposed nominations of persons for election to our board of directors;</w:t>
      </w: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provide that vacancies on our Board may be filled only by a majority of directors then in office, even though less than a quorum;</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provide that our directors may be removed only for cause;</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specify that no stockholder is permitted to cumulate votes at any election of directors;</w:t>
      </w:r>
    </w:p>
    <w:p>
      <w:pPr>
        <w:spacing w:after="0" w:line="46" w:lineRule="exact"/>
        <w:rPr>
          <w:rFonts w:ascii="Wingdings" w:cs="Wingdings" w:eastAsia="Wingdings" w:hAnsi="Wingdings"/>
          <w:sz w:val="12"/>
          <w:szCs w:val="12"/>
          <w:b w:val="1"/>
          <w:bCs w:val="1"/>
          <w:color w:val="auto"/>
        </w:rPr>
      </w:pPr>
    </w:p>
    <w:p>
      <w:pPr>
        <w:ind w:left="300" w:hanging="298"/>
        <w:spacing w:after="0"/>
        <w:tabs>
          <w:tab w:leader="none" w:pos="300"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expressly authorize our Board to modify, alter or repeal our amended and restated bylaws; and</w:t>
      </w:r>
    </w:p>
    <w:p>
      <w:pPr>
        <w:spacing w:after="0" w:line="46" w:lineRule="exact"/>
        <w:rPr>
          <w:rFonts w:ascii="Wingdings" w:cs="Wingdings" w:eastAsia="Wingdings" w:hAnsi="Wingdings"/>
          <w:sz w:val="12"/>
          <w:szCs w:val="12"/>
          <w:b w:val="1"/>
          <w:bCs w:val="1"/>
          <w:color w:val="auto"/>
        </w:rPr>
      </w:pPr>
    </w:p>
    <w:p>
      <w:pPr>
        <w:ind w:left="300" w:right="200" w:hanging="298"/>
        <w:spacing w:after="0" w:line="290" w:lineRule="auto"/>
        <w:tabs>
          <w:tab w:leader="none" w:pos="299" w:val="left"/>
        </w:tabs>
        <w:numPr>
          <w:ilvl w:val="0"/>
          <w:numId w:val="48"/>
        </w:numPr>
        <w:rPr>
          <w:rFonts w:ascii="Wingdings" w:cs="Wingdings" w:eastAsia="Wingdings" w:hAnsi="Wingdings"/>
          <w:sz w:val="12"/>
          <w:szCs w:val="12"/>
          <w:b w:val="1"/>
          <w:bCs w:val="1"/>
          <w:color w:val="auto"/>
        </w:rPr>
      </w:pPr>
      <w:r>
        <w:rPr>
          <w:rFonts w:ascii="Arial" w:cs="Arial" w:eastAsia="Arial" w:hAnsi="Arial"/>
          <w:sz w:val="16"/>
          <w:szCs w:val="16"/>
          <w:color w:val="auto"/>
        </w:rPr>
        <w:t>require supermajority votes of the holders of our common stock to amend specified provisions of our restated certificate of incorporation and amended and restated bylaws.</w:t>
      </w:r>
    </w:p>
    <w:p>
      <w:pPr>
        <w:spacing w:after="0" w:line="14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55" w:lineRule="exact"/>
        <w:rPr>
          <w:sz w:val="20"/>
          <w:szCs w:val="20"/>
          <w:color w:val="auto"/>
        </w:rPr>
      </w:pPr>
    </w:p>
    <w:p>
      <w:pPr>
        <w:jc w:val="both"/>
        <w:ind w:right="80"/>
        <w:spacing w:after="0" w:line="263"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Any provision of our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b w:val="1"/>
          <w:bCs w:val="1"/>
          <w:i w:val="1"/>
          <w:iCs w:val="1"/>
          <w:color w:val="auto"/>
        </w:rPr>
        <w:t>Our restated certificate of incorporation designates specific courts as the sole and exclusive forum for certain claims or causes of action that may be brought by our stockholders, which could discourage lawsuits against us and our directors and officers.</w:t>
      </w:r>
    </w:p>
    <w:p>
      <w:pPr>
        <w:spacing w:after="0" w:line="7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restated certificate of incorporation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certificate of incorporation or amended and restated bylaws, (iv) any claim to interpret, apply, enforce or determine the validity of our restated certificate of incorporation or amended and restated bylaws, (v) any claim against the Company governed by the internal affairs doctrine, and (vi) any other claim, not subject to exclusive federal jurisdiction and not asserting a cause of action arising under the Securities Act of 1933, as amended, or the Securities Act, brought in any action asserting one or more of the claims specified in clauses (a)</w:t>
      </w:r>
    </w:p>
    <w:p>
      <w:pPr>
        <w:spacing w:after="0" w:line="4" w:lineRule="exact"/>
        <w:rPr>
          <w:sz w:val="20"/>
          <w:szCs w:val="20"/>
          <w:color w:val="auto"/>
        </w:rPr>
      </w:pPr>
    </w:p>
    <w:p>
      <w:pPr>
        <w:ind w:right="40" w:firstLine="2"/>
        <w:spacing w:after="0" w:line="269" w:lineRule="auto"/>
        <w:tabs>
          <w:tab w:leader="none" w:pos="1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through (v) herein above, or each a Covered Claim. This provision would not apply to claims brought to enforce a duty or liability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152400</wp:posOffset>
            </wp:positionV>
            <wp:extent cx="71647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ind w:right="20"/>
        <w:spacing w:after="0" w:line="269" w:lineRule="auto"/>
        <w:rPr>
          <w:sz w:val="20"/>
          <w:szCs w:val="20"/>
          <w:color w:val="auto"/>
        </w:rPr>
      </w:pPr>
      <w:r>
        <w:rPr>
          <w:rFonts w:ascii="Arial" w:cs="Arial" w:eastAsia="Arial" w:hAnsi="Arial"/>
          <w:sz w:val="16"/>
          <w:szCs w:val="16"/>
          <w:color w:val="auto"/>
        </w:rPr>
        <w:t>Our restated certificate of incorporation further provides that the federal district courts of the United States of America will be the exclusive forum for resolving any complaint asserting a cause of action arising under the Securities Act. In addition, our restated certificate of incorporation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choice of forum provisions contained in our restated certificate of incorporation may make it more costly for a stockholder to bring a claim, and it may also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certificate of incorporation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17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9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not receive significant additional funds upon the exercise of the Pre-Funded Warrants sold in the Private Placement.</w:t>
      </w:r>
    </w:p>
    <w:p>
      <w:pPr>
        <w:spacing w:after="0" w:line="16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Each Pre-Funded Warrant sold in the Private Placement may be exercised by way of a cashless exercise, meaning that the holder may choose not to pay a cash purchase price upon exercise, and instead would receive, upon such exercise, the net number of shares of common stock determined according to the formula set forth in the Pre-Funded Warrant. Accordingly, we may not receive any additional funds upon the exercise of the Pre-Funded Warrants. In addition, the Pre-Funded Warrants have an exercise price of $0.00001 per pre-funded warrant, and as a result we will not receive significant additional funds upon their exercise, even if exercised for cash.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Unstable economic and market conditions may have serious adverse consequences on our business, financial condition and stock price.</w:t>
      </w:r>
    </w:p>
    <w:p>
      <w:pPr>
        <w:spacing w:after="0" w:line="16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fluctuating inflation and monetary supply shifts, rising interest rates, labor shortages, declines in consumer confidence, declines in economic growth, increases in unemployment rates, recession risks, tariffs and uncertainty about economic and geopolitical stability (for example, related to the United States and Israeli military action against Iran and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9" w:name="page90"/>
    <w:bookmarkEnd w:id="89"/>
    <w:p>
      <w:pPr>
        <w:ind w:right="260"/>
        <w:spacing w:after="0" w:line="298" w:lineRule="auto"/>
        <w:rPr>
          <w:sz w:val="20"/>
          <w:szCs w:val="20"/>
          <w:color w:val="auto"/>
        </w:rPr>
      </w:pPr>
      <w:r>
        <w:rPr>
          <w:rFonts w:ascii="Arial" w:cs="Arial" w:eastAsia="Arial" w:hAnsi="Arial"/>
          <w:sz w:val="16"/>
          <w:szCs w:val="16"/>
          <w:b w:val="1"/>
          <w:bCs w:val="1"/>
          <w:i w:val="1"/>
          <w:iCs w:val="1"/>
          <w:color w:val="auto"/>
        </w:rPr>
        <w:t>We have incurred, and will incur, increased costs as a result of operating as a public company, and our management will be required to devote substantial time to new compliance initiatives and corporate governance practices.</w:t>
      </w:r>
    </w:p>
    <w:p>
      <w:pPr>
        <w:spacing w:after="0" w:line="7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a public company, we have incurred,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NYSE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540"/>
        <w:spacing w:after="0" w:line="298" w:lineRule="auto"/>
        <w:rPr>
          <w:sz w:val="20"/>
          <w:szCs w:val="20"/>
          <w:color w:val="auto"/>
        </w:rPr>
      </w:pPr>
      <w:r>
        <w:rPr>
          <w:rFonts w:ascii="Arial" w:cs="Arial" w:eastAsia="Arial" w:hAnsi="Arial"/>
          <w:sz w:val="16"/>
          <w:szCs w:val="16"/>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79"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We are not currently required to comply with the rules of the SEC implementing SOX Section 404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6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right="660"/>
        <w:spacing w:after="0" w:line="298" w:lineRule="auto"/>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will leave us exposed to significant uninsured liabilities.</w:t>
      </w:r>
    </w:p>
    <w:p>
      <w:pPr>
        <w:spacing w:after="0" w:line="7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16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market price of our common stock is likely to be volatile. The stock market in general, and NYSE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time-consuming, damage our reputation and divert our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securities class action litigation.</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the past, securities class action litigation has often been instituted against companies following periods of volatility in the trading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68"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b w:val="1"/>
          <w:bCs w:val="1"/>
          <w:i w:val="1"/>
          <w:iCs w:val="1"/>
          <w:color w:val="auto"/>
        </w:rPr>
        <w:t>Our operations or those of the third parties upon whom we depend might be affected by the occurrence of a natural disaster, pandemic or other catastrophic event.</w:t>
      </w:r>
    </w:p>
    <w:p>
      <w:pPr>
        <w:spacing w:after="0" w:line="6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depend on our employees, consultants, vendors, service providers, and other contractors (including CMOs and CROs), as well as regulatory agencies and other third parties, for the continued operation of our business.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infrastructure caused by events, such as natural disasters, the outbreak of war, the escalation of hostilities and acts of terrorism or other “acts of God,” particularly involving those places in which we maintain office space or at our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consultants, vendors, service providers, and other contractors, regulatory agencies or other parties with which we are engaged could have a significant negative impact on our operations and financial performance.</w:t>
      </w:r>
    </w:p>
    <w:p>
      <w:pPr>
        <w:spacing w:after="0" w:line="19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We could be subject to changes in tax rates or new tax legislation or could otherwise have exposure to additional tax liabilities, which could harm our business.</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Changes to tax laws or regulations, or to the interpretation of such laws or regulations, in the jurisdictions in which we operate could significantly increase our effective tax rate and materially affect our financial condition. In addition, other factors or events, including business combinations and investments, changes in our stock-based compensation, changes in the valuation of our deferred tax assets and liabilities, adjustments to our taxes upon finalization of any of our various tax returns or as a result of deficiencies asserted by taxing authorities against us, increases in any of our expenses that are not deductible for tax purposes, changes in our available tax credits, and changes in the apportionment of our income and our activities among tax jurisdictions, could also increase our effective tax rate. Our tax filings are subject to review or audit by the U.S. Internal Revenue Service, or the IRS, and state, local and foreign taxing authorities. We may also be liable for taxes in connection with businesses we acquire. Our determinations in respect of our tax liabilities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or other proceeding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i w:val="1"/>
          <w:iCs w:val="1"/>
          <w:color w:val="auto"/>
        </w:rPr>
        <w:t>Our ability to use certain net operating loss, or NOL, carryforwards and certain other tax attributes may be limited.</w:t>
      </w:r>
    </w:p>
    <w:p>
      <w:pPr>
        <w:spacing w:after="0" w:line="16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As of March 31, 2026, we had federal and state NOL carryforwards of approximately $180.3 million. Federal NOL carryforwards generated in taxable years beginning after December 31, 2017, may be carried forward indefinitely but are permitted to be used in any taxable year to offset only up to 80% of taxable income in such taxable year, if any. It is uncertain if and to what extent various states will conform to federal law. There also may be periods during which the use of state NOL carryforwards is suspended or otherwise limited, which could accelerate or permanently increase state taxes owed. Certain of the state NOL carryforwards will begin to expire in 2040.</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Under Sections 382 and 383 of the Internal Revenue Code of 1986, as amended, or the Code, if a corporation undergoes an “ownership change,” the corporation’s ability to use its pre-change NOL carryforwards and other pre-change tax attributes to offset its post-change income and taxes may be limited. Similar rules may apply under state tax laws. In general, an “ownership change” occurs if there is a cumulative change in ownership of the corporation by “5% shareholders” that exceeds 50 percentage points over a rolling three-year period. We have initiated but not yet completed a study under Section 382 of the Code to determine whether we have previously experienced an ownership change. We may also experience an ownership change upon future issuances of our stock or due to secondary trading of our stock which may be outside of our control. Any of these ownership changes and their resulting limitations on our ability to use NOL carryforwards and other tax attributes could adversely impact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From January 1, 2026 to February 5, 2026 (the date of the filing of our registration statement on Form S-8, File No. 333-293238), we issued and sold to an employee an aggregate of 8,319 shares of Common Stock, before giving effect to the reverse stock split as part of our IPO, or 826 shares of Common Stock, after giving effect to the reverse stock split as part of our IPO, upon the exercise of stock options under our 2021 Stock Plan at an exercise price of $1.27 per share, for an aggregate purchase price of $10,565.13.</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On January 30, 2026, the Company’s registration statement on Form S-1 (File No. 333-292657), or the IPO Prospectus, related to our IPO became effective.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the planned use of proceeds from our IPO from that described in the IPO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81"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During our fiscal quarter ended March 31, 2026, certain of our directors or “officers,” (as defined in Rule 16a-1(f) under the Exchange Act) entered into a contract, instruction or written plan for the purchase or sale of our securities that is intended to satisfy the conditions specified in Rule 10b5-1(c) under the Exchange Act for an affirmative defense against liability for trading in securities on the basis of material nonpublic information. We refer to these contracts, instructions, and written plans as “Rule 10b5-1 trading plans” and each one as a “Rule 10b5-1 trading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describe the material terms of these Rule 10b5-1 trading plans in the table below.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1"/>
        </w:trPr>
        <w:tc>
          <w:tcPr>
            <w:tcW w:w="32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Rule 10b5-1 Trading Plans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Maximum Number</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3" w:lineRule="exact"/>
              <w:rPr>
                <w:sz w:val="20"/>
                <w:szCs w:val="20"/>
                <w:color w:val="auto"/>
              </w:rPr>
            </w:pPr>
            <w:r>
              <w:rPr>
                <w:rFonts w:ascii="Arial" w:cs="Arial" w:eastAsia="Arial" w:hAnsi="Arial"/>
                <w:sz w:val="16"/>
                <w:szCs w:val="16"/>
                <w:b w:val="1"/>
                <w:bCs w:val="1"/>
                <w:color w:val="auto"/>
              </w:rPr>
              <w:t>of Securities to be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Scheduled</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Purchased or Sold</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Action and Date of</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Commencement of</w:t>
            </w:r>
          </w:p>
        </w:tc>
        <w:tc>
          <w:tcPr>
            <w:tcW w:w="160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3" w:lineRule="exact"/>
              <w:rPr>
                <w:sz w:val="20"/>
                <w:szCs w:val="20"/>
                <w:color w:val="auto"/>
              </w:rPr>
            </w:pPr>
            <w:r>
              <w:rPr>
                <w:rFonts w:ascii="Arial" w:cs="Arial" w:eastAsia="Arial" w:hAnsi="Arial"/>
                <w:sz w:val="16"/>
                <w:szCs w:val="16"/>
                <w:b w:val="1"/>
                <w:bCs w:val="1"/>
                <w:color w:val="auto"/>
              </w:rPr>
              <w:t>Pursuant to the</w:t>
            </w: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Covers Purchase</w:t>
            </w:r>
          </w:p>
        </w:tc>
        <w:tc>
          <w:tcPr>
            <w:tcW w:w="0" w:type="dxa"/>
            <w:vAlign w:val="bottom"/>
          </w:tcPr>
          <w:p>
            <w:pPr>
              <w:spacing w:after="0"/>
              <w:rPr>
                <w:sz w:val="1"/>
                <w:szCs w:val="1"/>
                <w:color w:val="auto"/>
              </w:rPr>
            </w:pPr>
          </w:p>
        </w:tc>
      </w:tr>
      <w:tr>
        <w:trPr>
          <w:trHeight w:val="166"/>
        </w:trPr>
        <w:tc>
          <w:tcPr>
            <w:tcW w:w="15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Director/Officer</w:t>
            </w:r>
          </w:p>
        </w:tc>
        <w:tc>
          <w:tcPr>
            <w:tcW w:w="100" w:type="dxa"/>
            <w:vAlign w:val="bottom"/>
            <w:vMerge w:val="restart"/>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7" w:lineRule="exact"/>
              <w:rPr>
                <w:sz w:val="20"/>
                <w:szCs w:val="20"/>
                <w:color w:val="auto"/>
              </w:rPr>
            </w:pPr>
            <w:r>
              <w:rPr>
                <w:rFonts w:ascii="Arial" w:cs="Arial" w:eastAsia="Arial" w:hAnsi="Arial"/>
                <w:sz w:val="16"/>
                <w:szCs w:val="16"/>
                <w:b w:val="1"/>
                <w:bCs w:val="1"/>
                <w:color w:val="auto"/>
              </w:rPr>
              <w:t>Termination of</w:t>
            </w: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 Covered</w:t>
            </w:r>
          </w:p>
        </w:tc>
        <w:tc>
          <w:tcPr>
            <w:tcW w:w="80" w:type="dxa"/>
            <w:vAlign w:val="bottom"/>
            <w:vMerge w:val="restart"/>
          </w:tcPr>
          <w:p>
            <w:pPr>
              <w:spacing w:after="0"/>
              <w:rPr>
                <w:sz w:val="14"/>
                <w:szCs w:val="14"/>
                <w:color w:val="auto"/>
              </w:rPr>
            </w:pPr>
          </w:p>
        </w:tc>
        <w:tc>
          <w:tcPr>
            <w:tcW w:w="1620" w:type="dxa"/>
            <w:vAlign w:val="bottom"/>
            <w:gridSpan w:val="2"/>
          </w:tcPr>
          <w:p>
            <w:pPr>
              <w:jc w:val="center"/>
              <w:ind w:right="80"/>
              <w:spacing w:after="0" w:line="167" w:lineRule="exact"/>
              <w:rPr>
                <w:sz w:val="20"/>
                <w:szCs w:val="20"/>
                <w:color w:val="auto"/>
              </w:rPr>
            </w:pPr>
            <w:r>
              <w:rPr>
                <w:rFonts w:ascii="Arial" w:cs="Arial" w:eastAsia="Arial" w:hAnsi="Arial"/>
                <w:sz w:val="16"/>
                <w:szCs w:val="16"/>
                <w:b w:val="1"/>
                <w:bCs w:val="1"/>
                <w:color w:val="auto"/>
              </w:rPr>
              <w:t>Rule 10b5-1</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Action</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Period</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Period (1)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Plan (2)</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Sale</w:t>
            </w:r>
          </w:p>
        </w:tc>
        <w:tc>
          <w:tcPr>
            <w:tcW w:w="0" w:type="dxa"/>
            <w:vAlign w:val="bottom"/>
          </w:tcPr>
          <w:p>
            <w:pPr>
              <w:spacing w:after="0"/>
              <w:rPr>
                <w:sz w:val="1"/>
                <w:szCs w:val="1"/>
                <w:color w:val="auto"/>
              </w:rPr>
            </w:pPr>
          </w:p>
        </w:tc>
      </w:tr>
      <w:tr>
        <w:trPr>
          <w:trHeight w:val="150"/>
        </w:trPr>
        <w:tc>
          <w:tcPr>
            <w:tcW w:w="16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Reid Waldman</w:t>
            </w:r>
          </w:p>
        </w:tc>
        <w:tc>
          <w:tcPr>
            <w:tcW w:w="1500" w:type="dxa"/>
            <w:vAlign w:val="bottom"/>
            <w:shd w:val="clear" w:color="auto" w:fill="CCEEFF"/>
          </w:tcPr>
          <w:p>
            <w:pPr>
              <w:jc w:val="center"/>
              <w:spacing w:after="0" w:line="150" w:lineRule="exact"/>
              <w:rPr>
                <w:sz w:val="20"/>
                <w:szCs w:val="20"/>
                <w:color w:val="auto"/>
              </w:rPr>
            </w:pPr>
            <w:r>
              <w:rPr>
                <w:rFonts w:ascii="Arial" w:cs="Arial" w:eastAsia="Arial" w:hAnsi="Arial"/>
                <w:sz w:val="16"/>
                <w:szCs w:val="16"/>
                <w:color w:val="auto"/>
              </w:rPr>
              <w:t>Adoption</w:t>
            </w:r>
          </w:p>
        </w:tc>
        <w:tc>
          <w:tcPr>
            <w:tcW w:w="10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08/17/2026</w:t>
            </w:r>
          </w:p>
        </w:tc>
        <w:tc>
          <w:tcPr>
            <w:tcW w:w="1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08/18/2027</w:t>
            </w:r>
          </w:p>
        </w:tc>
        <w:tc>
          <w:tcPr>
            <w:tcW w:w="8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rPr>
              <w:t>Common Stock</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8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Sale</w:t>
            </w:r>
          </w:p>
        </w:tc>
        <w:tc>
          <w:tcPr>
            <w:tcW w:w="0" w:type="dxa"/>
            <w:vAlign w:val="bottom"/>
          </w:tcPr>
          <w:p>
            <w:pPr>
              <w:spacing w:after="0"/>
              <w:rPr>
                <w:sz w:val="1"/>
                <w:szCs w:val="1"/>
                <w:color w:val="auto"/>
              </w:rPr>
            </w:pPr>
          </w:p>
        </w:tc>
      </w:tr>
      <w:tr>
        <w:trPr>
          <w:trHeight w:val="214"/>
        </w:trPr>
        <w:tc>
          <w:tcPr>
            <w:tcW w:w="1620" w:type="dxa"/>
            <w:vAlign w:val="bottom"/>
            <w:gridSpan w:val="2"/>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03/05/2026</w:t>
            </w: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620" w:type="dxa"/>
            <w:vAlign w:val="bottom"/>
            <w:gridSpan w:val="2"/>
            <w:vMerge w:val="restart"/>
          </w:tcPr>
          <w:p>
            <w:pPr>
              <w:ind w:left="20"/>
              <w:spacing w:after="0"/>
              <w:rPr>
                <w:sz w:val="20"/>
                <w:szCs w:val="20"/>
                <w:color w:val="auto"/>
              </w:rPr>
            </w:pPr>
            <w:r>
              <w:rPr>
                <w:rFonts w:ascii="Arial" w:cs="Arial" w:eastAsia="Arial" w:hAnsi="Arial"/>
                <w:sz w:val="16"/>
                <w:szCs w:val="16"/>
                <w:color w:val="auto"/>
              </w:rPr>
              <w:t>Timothy Durso</w:t>
            </w:r>
          </w:p>
        </w:tc>
        <w:tc>
          <w:tcPr>
            <w:tcW w:w="1600" w:type="dxa"/>
            <w:vAlign w:val="bottom"/>
            <w:gridSpan w:val="2"/>
          </w:tcPr>
          <w:p>
            <w:pPr>
              <w:jc w:val="center"/>
              <w:ind w:right="80"/>
              <w:spacing w:after="0" w:line="158" w:lineRule="exact"/>
              <w:rPr>
                <w:sz w:val="20"/>
                <w:szCs w:val="20"/>
                <w:color w:val="auto"/>
              </w:rPr>
            </w:pPr>
            <w:r>
              <w:rPr>
                <w:rFonts w:ascii="Arial" w:cs="Arial" w:eastAsia="Arial" w:hAnsi="Arial"/>
                <w:sz w:val="16"/>
                <w:szCs w:val="16"/>
                <w:color w:val="auto"/>
              </w:rPr>
              <w:t>Adoption</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rPr>
              <w:t>08/17/2026</w:t>
            </w:r>
          </w:p>
        </w:tc>
        <w:tc>
          <w:tcPr>
            <w:tcW w:w="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9"/>
              </w:rPr>
              <w:t>08/18/2027</w:t>
            </w:r>
          </w:p>
        </w:tc>
        <w:tc>
          <w:tcPr>
            <w:tcW w:w="80" w:type="dxa"/>
            <w:vAlign w:val="bottom"/>
          </w:tcPr>
          <w:p>
            <w:pPr>
              <w:spacing w:after="0"/>
              <w:rPr>
                <w:sz w:val="13"/>
                <w:szCs w:val="13"/>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Common Stock</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87,000</w:t>
            </w:r>
          </w:p>
        </w:tc>
        <w:tc>
          <w:tcPr>
            <w:tcW w:w="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99"/>
              </w:rPr>
              <w:t>Sale</w:t>
            </w:r>
          </w:p>
        </w:tc>
        <w:tc>
          <w:tcPr>
            <w:tcW w:w="0" w:type="dxa"/>
            <w:vAlign w:val="bottom"/>
          </w:tcPr>
          <w:p>
            <w:pPr>
              <w:spacing w:after="0"/>
              <w:rPr>
                <w:sz w:val="1"/>
                <w:szCs w:val="1"/>
                <w:color w:val="auto"/>
              </w:rPr>
            </w:pPr>
          </w:p>
        </w:tc>
      </w:tr>
      <w:tr>
        <w:trPr>
          <w:trHeight w:val="215"/>
        </w:trPr>
        <w:tc>
          <w:tcPr>
            <w:tcW w:w="1620" w:type="dxa"/>
            <w:vAlign w:val="bottom"/>
            <w:gridSpan w:val="2"/>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03/05/2026</w:t>
            </w: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20" w:right="80" w:hanging="310"/>
        <w:spacing w:after="0" w:line="244"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plan is subject to earlier termination under certain circumstances specified in the plan, including upon the sale or purchase (as applicable) of all shares subject to the plan and upon either party to a plan giving notice of termination within the time prescribed under the plan.</w:t>
      </w:r>
    </w:p>
    <w:p>
      <w:pPr>
        <w:ind w:left="600" w:hanging="290"/>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adjustments for stock splits, stock combinations, stock dividends and other similar changes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6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4"/>
                <w:szCs w:val="14"/>
                <w:b w:val="1"/>
                <w:bCs w:val="1"/>
                <w:color w:val="auto"/>
              </w:rPr>
              <w:t>EXHIBIT</w:t>
            </w:r>
          </w:p>
        </w:tc>
        <w:tc>
          <w:tcPr>
            <w:tcW w:w="20" w:type="dxa"/>
            <w:vAlign w:val="bottom"/>
            <w:tcBorders>
              <w:top w:val="single" w:sz="8" w:color="auto"/>
            </w:tcBorders>
          </w:tcPr>
          <w:p>
            <w:pPr>
              <w:spacing w:after="0"/>
              <w:rPr>
                <w:sz w:val="13"/>
                <w:szCs w:val="13"/>
                <w:color w:val="auto"/>
              </w:rPr>
            </w:pPr>
          </w:p>
        </w:tc>
        <w:tc>
          <w:tcPr>
            <w:tcW w:w="10260" w:type="dxa"/>
            <w:vAlign w:val="bottom"/>
            <w:tcBorders>
              <w:top w:val="single" w:sz="8" w:color="auto"/>
            </w:tcBorders>
            <w:gridSpan w:val="1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6"/>
        </w:trPr>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026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6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60" w:type="dxa"/>
            <w:vAlign w:val="bottom"/>
            <w:tcBorders>
              <w:top w:val="single" w:sz="8" w:color="auto"/>
            </w:tcBorders>
            <w:gridSpan w:val="15"/>
          </w:tcPr>
          <w:p>
            <w:pPr>
              <w:spacing w:after="0" w:line="172" w:lineRule="exact"/>
              <w:rPr>
                <w:rFonts w:ascii="Arial" w:cs="Arial" w:eastAsia="Arial" w:hAnsi="Arial"/>
                <w:sz w:val="17"/>
                <w:szCs w:val="17"/>
                <w:color w:val="0000FF"/>
              </w:rPr>
            </w:pPr>
            <w:hyperlink r:id="rId107">
              <w:r>
                <w:rPr>
                  <w:rFonts w:ascii="Arial" w:cs="Arial" w:eastAsia="Arial" w:hAnsi="Arial"/>
                  <w:sz w:val="17"/>
                  <w:szCs w:val="17"/>
                  <w:color w:val="0000FF"/>
                </w:rPr>
                <w:t>Restated Certificate of Incorporation of the Company</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3.1 to the Form 8-K filed on February 5,</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0000FF"/>
            </w:tcBorders>
          </w:tcPr>
          <w:p>
            <w:pPr>
              <w:spacing w:after="0" w:line="194" w:lineRule="exact"/>
              <w:rPr>
                <w:sz w:val="20"/>
                <w:szCs w:val="20"/>
                <w:color w:val="auto"/>
              </w:rPr>
            </w:pPr>
            <w:r>
              <w:rPr>
                <w:rFonts w:ascii="Arial" w:cs="Arial" w:eastAsia="Arial" w:hAnsi="Arial"/>
                <w:sz w:val="17"/>
                <w:szCs w:val="17"/>
                <w:color w:val="auto"/>
              </w:rPr>
              <w:t>2026).</w:t>
            </w:r>
          </w:p>
        </w:tc>
        <w:tc>
          <w:tcPr>
            <w:tcW w:w="268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08">
              <w:r>
                <w:rPr>
                  <w:rFonts w:ascii="Arial" w:cs="Arial" w:eastAsia="Arial" w:hAnsi="Arial"/>
                  <w:sz w:val="17"/>
                  <w:szCs w:val="17"/>
                  <w:color w:val="0000FF"/>
                </w:rPr>
                <w:t>Amended and Restated Bylaws of the Company</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3.2 to the Form 8-K filed on February 5, 2026).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15"/>
          </w:tcPr>
          <w:p>
            <w:pPr>
              <w:spacing w:after="0"/>
              <w:rPr>
                <w:rFonts w:ascii="Arial" w:cs="Arial" w:eastAsia="Arial" w:hAnsi="Arial"/>
                <w:sz w:val="17"/>
                <w:szCs w:val="17"/>
                <w:color w:val="0000FF"/>
              </w:rPr>
            </w:pPr>
            <w:hyperlink r:id="rId109">
              <w:r>
                <w:rPr>
                  <w:rFonts w:ascii="Arial" w:cs="Arial" w:eastAsia="Arial" w:hAnsi="Arial"/>
                  <w:sz w:val="17"/>
                  <w:szCs w:val="17"/>
                  <w:color w:val="0000FF"/>
                </w:rPr>
                <w:t>Specimen stock certificate evidencing shares of common stock</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4.1 to the Registration Statement</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top w:val="single" w:sz="8" w:color="0000FF"/>
            </w:tcBorders>
            <w:gridSpan w:val="5"/>
          </w:tcPr>
          <w:p>
            <w:pPr>
              <w:spacing w:after="0" w:line="194" w:lineRule="exact"/>
              <w:rPr>
                <w:sz w:val="20"/>
                <w:szCs w:val="20"/>
                <w:color w:val="auto"/>
              </w:rPr>
            </w:pPr>
            <w:r>
              <w:rPr>
                <w:rFonts w:ascii="Arial" w:cs="Arial" w:eastAsia="Arial" w:hAnsi="Arial"/>
                <w:sz w:val="17"/>
                <w:szCs w:val="17"/>
                <w:color w:val="auto"/>
              </w:rPr>
              <w:t>on Form S-1 filed on January 28, 2026).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0">
              <w:r>
                <w:rPr>
                  <w:rFonts w:ascii="Arial" w:cs="Arial" w:eastAsia="Arial" w:hAnsi="Arial"/>
                  <w:sz w:val="17"/>
                  <w:szCs w:val="17"/>
                  <w:color w:val="0000FF"/>
                </w:rPr>
                <w:t>Third Amended and Restated Investors’ Rights Agreement, dated as of October 14, 2025 among the Company and certain of its</w:t>
              </w:r>
            </w:hyperlink>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9" w:lineRule="exact"/>
              <w:rPr>
                <w:rFonts w:ascii="Arial" w:cs="Arial" w:eastAsia="Arial" w:hAnsi="Arial"/>
                <w:sz w:val="17"/>
                <w:szCs w:val="17"/>
                <w:color w:val="0000FF"/>
              </w:rPr>
            </w:pPr>
            <w:hyperlink r:id="rId110">
              <w:r>
                <w:rPr>
                  <w:rFonts w:ascii="Arial" w:cs="Arial" w:eastAsia="Arial" w:hAnsi="Arial"/>
                  <w:sz w:val="17"/>
                  <w:szCs w:val="17"/>
                  <w:color w:val="0000FF"/>
                </w:rPr>
                <w:t>stockholders</w:t>
              </w:r>
              <w:r>
                <w:rPr>
                  <w:rFonts w:ascii="Arial" w:cs="Arial" w:eastAsia="Arial" w:hAnsi="Arial"/>
                  <w:sz w:val="17"/>
                  <w:szCs w:val="17"/>
                  <w:color w:val="000000"/>
                </w:rPr>
                <w:t>, (incorporated by reference to Exhibit 4.2 to the Registration Statement on Form S-1 filed on January 28, 2026).</w:t>
              </w:r>
            </w:hyperlink>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15"/>
          </w:tcPr>
          <w:p>
            <w:pPr>
              <w:spacing w:after="0"/>
              <w:rPr>
                <w:rFonts w:ascii="Arial" w:cs="Arial" w:eastAsia="Arial" w:hAnsi="Arial"/>
                <w:sz w:val="17"/>
                <w:szCs w:val="17"/>
                <w:color w:val="0000FF"/>
              </w:rPr>
            </w:pPr>
            <w:hyperlink r:id="rId111">
              <w:r>
                <w:rPr>
                  <w:rFonts w:ascii="Arial" w:cs="Arial" w:eastAsia="Arial" w:hAnsi="Arial"/>
                  <w:sz w:val="17"/>
                  <w:szCs w:val="17"/>
                  <w:color w:val="0000FF"/>
                </w:rPr>
                <w:t>Veradermics, Incorporated 2026 Employee Stock Purchase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10.6 to the Registration</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tcBorders>
              <w:top w:val="single" w:sz="8" w:color="0000FF"/>
            </w:tcBorders>
            <w:gridSpan w:val="6"/>
          </w:tcPr>
          <w:p>
            <w:pPr>
              <w:spacing w:after="0" w:line="194" w:lineRule="exact"/>
              <w:rPr>
                <w:sz w:val="20"/>
                <w:szCs w:val="20"/>
                <w:color w:val="auto"/>
              </w:rPr>
            </w:pPr>
            <w:r>
              <w:rPr>
                <w:rFonts w:ascii="Arial" w:cs="Arial" w:eastAsia="Arial" w:hAnsi="Arial"/>
                <w:sz w:val="17"/>
                <w:szCs w:val="17"/>
                <w:color w:val="auto"/>
              </w:rPr>
              <w:t>Statement on Form S-1 filed on January 28, 2026).</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2">
              <w:r>
                <w:rPr>
                  <w:rFonts w:ascii="Arial" w:cs="Arial" w:eastAsia="Arial" w:hAnsi="Arial"/>
                  <w:sz w:val="17"/>
                  <w:szCs w:val="17"/>
                  <w:color w:val="0000FF"/>
                </w:rPr>
                <w:t>Form of Veradermics, Incorporated 2026 Equity Incentive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4.4 to the Registration Statement</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tcBorders>
              <w:top w:val="single" w:sz="8" w:color="0000FF"/>
            </w:tcBorders>
            <w:gridSpan w:val="4"/>
          </w:tcPr>
          <w:p>
            <w:pPr>
              <w:spacing w:after="0" w:line="194" w:lineRule="exact"/>
              <w:rPr>
                <w:sz w:val="20"/>
                <w:szCs w:val="20"/>
                <w:color w:val="auto"/>
              </w:rPr>
            </w:pPr>
            <w:r>
              <w:rPr>
                <w:rFonts w:ascii="Arial" w:cs="Arial" w:eastAsia="Arial" w:hAnsi="Arial"/>
                <w:sz w:val="17"/>
                <w:szCs w:val="17"/>
                <w:color w:val="auto"/>
              </w:rPr>
              <w:t>on Form S-8 filed on February 5, 2026).</w:t>
            </w:r>
          </w:p>
        </w:tc>
        <w:tc>
          <w:tcPr>
            <w:tcW w:w="54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3">
              <w:r>
                <w:rPr>
                  <w:rFonts w:ascii="Arial" w:cs="Arial" w:eastAsia="Arial" w:hAnsi="Arial"/>
                  <w:sz w:val="17"/>
                  <w:szCs w:val="17"/>
                  <w:color w:val="0000FF"/>
                </w:rPr>
                <w:t>Form of Non-Statutory Stock Option Agreement under the 2026 Equity Incentive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10.8 to the</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20" w:type="dxa"/>
            <w:vAlign w:val="bottom"/>
            <w:tcBorders>
              <w:top w:val="single" w:sz="8" w:color="0000FF"/>
            </w:tcBorders>
            <w:gridSpan w:val="9"/>
          </w:tcPr>
          <w:p>
            <w:pPr>
              <w:spacing w:after="0" w:line="194" w:lineRule="exact"/>
              <w:rPr>
                <w:sz w:val="20"/>
                <w:szCs w:val="20"/>
                <w:color w:val="auto"/>
              </w:rPr>
            </w:pPr>
            <w:r>
              <w:rPr>
                <w:rFonts w:ascii="Arial" w:cs="Arial" w:eastAsia="Arial" w:hAnsi="Arial"/>
                <w:sz w:val="17"/>
                <w:szCs w:val="17"/>
                <w:color w:val="auto"/>
              </w:rPr>
              <w:t>Registration Statement on Form S-1 filed on January 28, 2026).</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4">
              <w:r>
                <w:rPr>
                  <w:rFonts w:ascii="Arial" w:cs="Arial" w:eastAsia="Arial" w:hAnsi="Arial"/>
                  <w:sz w:val="17"/>
                  <w:szCs w:val="17"/>
                  <w:color w:val="0000FF"/>
                </w:rPr>
                <w:t>Form of Non-Statutory Stock Option Agreement for Non-Employee Directors under the 2026 Equity Incentive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80" w:type="dxa"/>
            <w:vAlign w:val="bottom"/>
            <w:tcBorders>
              <w:top w:val="single" w:sz="8" w:color="0000FF"/>
            </w:tcBorders>
            <w:gridSpan w:val="13"/>
          </w:tcPr>
          <w:p>
            <w:pPr>
              <w:spacing w:after="0" w:line="194" w:lineRule="exact"/>
              <w:rPr>
                <w:sz w:val="20"/>
                <w:szCs w:val="20"/>
                <w:color w:val="auto"/>
              </w:rPr>
            </w:pPr>
            <w:r>
              <w:rPr>
                <w:rFonts w:ascii="Arial" w:cs="Arial" w:eastAsia="Arial" w:hAnsi="Arial"/>
                <w:sz w:val="17"/>
                <w:szCs w:val="17"/>
                <w:color w:val="auto"/>
              </w:rPr>
              <w:t>reference to Exhibit 10.9 to the Registration Statement on Form S-1 filed on January 28, 2026).</w:t>
            </w:r>
          </w:p>
        </w:tc>
        <w:tc>
          <w:tcPr>
            <w:tcW w:w="16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4">
              <w:r>
                <w:rPr>
                  <w:rFonts w:ascii="Arial" w:cs="Arial" w:eastAsia="Arial" w:hAnsi="Arial"/>
                  <w:sz w:val="17"/>
                  <w:szCs w:val="17"/>
                  <w:color w:val="0000FF"/>
                </w:rPr>
                <w:t>Form of Incentive Stock Option Agreement under the 2026 Equity Incentive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10.9 to the</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40" w:type="dxa"/>
            <w:vAlign w:val="bottom"/>
            <w:tcBorders>
              <w:top w:val="single" w:sz="8" w:color="0000FF"/>
            </w:tcBorders>
            <w:gridSpan w:val="8"/>
          </w:tcPr>
          <w:p>
            <w:pPr>
              <w:spacing w:after="0" w:line="194" w:lineRule="exact"/>
              <w:rPr>
                <w:sz w:val="20"/>
                <w:szCs w:val="20"/>
                <w:color w:val="auto"/>
              </w:rPr>
            </w:pPr>
            <w:r>
              <w:rPr>
                <w:rFonts w:ascii="Arial" w:cs="Arial" w:eastAsia="Arial" w:hAnsi="Arial"/>
                <w:sz w:val="17"/>
                <w:szCs w:val="17"/>
                <w:color w:val="auto"/>
              </w:rPr>
              <w:t>Registration Statement on Form S-1 filed on January 28, 2026).</w:t>
            </w:r>
          </w:p>
        </w:tc>
        <w:tc>
          <w:tcPr>
            <w:tcW w:w="8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5">
              <w:r>
                <w:rPr>
                  <w:rFonts w:ascii="Arial" w:cs="Arial" w:eastAsia="Arial" w:hAnsi="Arial"/>
                  <w:sz w:val="17"/>
                  <w:szCs w:val="17"/>
                  <w:color w:val="0000FF"/>
                </w:rPr>
                <w:t>Veradermics, Incorporated 2026 Cash Incentive Plan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10.11 to the Registration Statement on Form</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top w:val="single" w:sz="8" w:color="0000FF"/>
            </w:tcBorders>
            <w:gridSpan w:val="3"/>
          </w:tcPr>
          <w:p>
            <w:pPr>
              <w:spacing w:after="0" w:line="194" w:lineRule="exact"/>
              <w:rPr>
                <w:sz w:val="20"/>
                <w:szCs w:val="20"/>
                <w:color w:val="auto"/>
              </w:rPr>
            </w:pPr>
            <w:r>
              <w:rPr>
                <w:rFonts w:ascii="Arial" w:cs="Arial" w:eastAsia="Arial" w:hAnsi="Arial"/>
                <w:sz w:val="17"/>
                <w:szCs w:val="17"/>
                <w:color w:val="auto"/>
              </w:rPr>
              <w:t>S-1 filed on January 28, 2026).</w:t>
            </w:r>
          </w:p>
        </w:tc>
        <w:tc>
          <w:tcPr>
            <w:tcW w:w="1260" w:type="dxa"/>
            <w:vAlign w:val="bottom"/>
            <w:gridSpan w:val="4"/>
          </w:tcPr>
          <w:p>
            <w:pPr>
              <w:spacing w:after="0"/>
              <w:rPr>
                <w:sz w:val="16"/>
                <w:szCs w:val="16"/>
                <w:color w:val="auto"/>
              </w:rPr>
            </w:pPr>
          </w:p>
        </w:tc>
        <w:tc>
          <w:tcPr>
            <w:tcW w:w="16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6">
              <w:r>
                <w:rPr>
                  <w:rFonts w:ascii="Arial" w:cs="Arial" w:eastAsia="Arial" w:hAnsi="Arial"/>
                  <w:sz w:val="17"/>
                  <w:szCs w:val="17"/>
                  <w:color w:val="0000FF"/>
                </w:rPr>
                <w:t>Amended and Restated Employment Agreement between the Company and Reid Waldman</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10.12</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20" w:type="dxa"/>
            <w:vAlign w:val="bottom"/>
            <w:tcBorders>
              <w:top w:val="single" w:sz="8" w:color="0000FF"/>
            </w:tcBorders>
            <w:gridSpan w:val="11"/>
          </w:tcPr>
          <w:p>
            <w:pPr>
              <w:spacing w:after="0" w:line="194" w:lineRule="exact"/>
              <w:rPr>
                <w:sz w:val="20"/>
                <w:szCs w:val="20"/>
                <w:color w:val="auto"/>
              </w:rPr>
            </w:pPr>
            <w:r>
              <w:rPr>
                <w:rFonts w:ascii="Arial" w:cs="Arial" w:eastAsia="Arial" w:hAnsi="Arial"/>
                <w:sz w:val="17"/>
                <w:szCs w:val="17"/>
                <w:color w:val="auto"/>
              </w:rPr>
              <w:t>to the Registration Statement on Form S-1 filed on January 28, 2026).</w:t>
            </w:r>
          </w:p>
        </w:tc>
        <w:tc>
          <w:tcPr>
            <w:tcW w:w="1040" w:type="dxa"/>
            <w:vAlign w:val="bottom"/>
          </w:tcPr>
          <w:p>
            <w:pPr>
              <w:spacing w:after="0"/>
              <w:rPr>
                <w:sz w:val="16"/>
                <w:szCs w:val="16"/>
                <w:color w:val="auto"/>
              </w:rPr>
            </w:pPr>
          </w:p>
        </w:tc>
        <w:tc>
          <w:tcPr>
            <w:tcW w:w="2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7">
              <w:r>
                <w:rPr>
                  <w:rFonts w:ascii="Arial" w:cs="Arial" w:eastAsia="Arial" w:hAnsi="Arial"/>
                  <w:sz w:val="17"/>
                  <w:szCs w:val="17"/>
                  <w:color w:val="0000FF"/>
                </w:rPr>
                <w:t>Amended and Restated Employment Agreement between the Company and Timothy Durso</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10.13</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00" w:type="dxa"/>
            <w:vAlign w:val="bottom"/>
            <w:tcBorders>
              <w:top w:val="single" w:sz="8" w:color="0000FF"/>
            </w:tcBorders>
            <w:gridSpan w:val="10"/>
          </w:tcPr>
          <w:p>
            <w:pPr>
              <w:spacing w:after="0" w:line="194" w:lineRule="exact"/>
              <w:rPr>
                <w:sz w:val="20"/>
                <w:szCs w:val="20"/>
                <w:color w:val="auto"/>
              </w:rPr>
            </w:pPr>
            <w:r>
              <w:rPr>
                <w:rFonts w:ascii="Arial" w:cs="Arial" w:eastAsia="Arial" w:hAnsi="Arial"/>
                <w:sz w:val="17"/>
                <w:szCs w:val="17"/>
                <w:color w:val="auto"/>
              </w:rPr>
              <w:t>to the Registration Statement on Form S-1 filed on January 28, 2026).</w:t>
            </w:r>
          </w:p>
        </w:tc>
        <w:tc>
          <w:tcPr>
            <w:tcW w:w="1060" w:type="dxa"/>
            <w:vAlign w:val="bottom"/>
            <w:gridSpan w:val="2"/>
          </w:tcPr>
          <w:p>
            <w:pPr>
              <w:spacing w:after="0"/>
              <w:rPr>
                <w:sz w:val="16"/>
                <w:szCs w:val="16"/>
                <w:color w:val="auto"/>
              </w:rPr>
            </w:pPr>
          </w:p>
        </w:tc>
        <w:tc>
          <w:tcPr>
            <w:tcW w:w="2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8">
              <w:r>
                <w:rPr>
                  <w:rFonts w:ascii="Arial" w:cs="Arial" w:eastAsia="Arial" w:hAnsi="Arial"/>
                  <w:sz w:val="17"/>
                  <w:szCs w:val="17"/>
                  <w:color w:val="0000FF"/>
                </w:rPr>
                <w:t>Employment Agreement between the Company and Dominic Carrano</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10.14 to the Registration</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tcBorders>
              <w:top w:val="single" w:sz="8" w:color="0000FF"/>
            </w:tcBorders>
            <w:gridSpan w:val="7"/>
          </w:tcPr>
          <w:p>
            <w:pPr>
              <w:spacing w:after="0" w:line="194" w:lineRule="exact"/>
              <w:rPr>
                <w:sz w:val="20"/>
                <w:szCs w:val="20"/>
                <w:color w:val="auto"/>
              </w:rPr>
            </w:pPr>
            <w:r>
              <w:rPr>
                <w:rFonts w:ascii="Arial" w:cs="Arial" w:eastAsia="Arial" w:hAnsi="Arial"/>
                <w:sz w:val="17"/>
                <w:szCs w:val="17"/>
                <w:color w:val="auto"/>
              </w:rPr>
              <w:t>Statement on Form S-1 filed on January 28, 2026).</w:t>
            </w:r>
          </w:p>
        </w:tc>
        <w:tc>
          <w:tcPr>
            <w:tcW w:w="2720" w:type="dxa"/>
            <w:vAlign w:val="bottom"/>
            <w:gridSpan w:val="5"/>
          </w:tcPr>
          <w:p>
            <w:pPr>
              <w:spacing w:after="0"/>
              <w:rPr>
                <w:sz w:val="16"/>
                <w:szCs w:val="16"/>
                <w:color w:val="auto"/>
              </w:rPr>
            </w:pPr>
          </w:p>
        </w:tc>
        <w:tc>
          <w:tcPr>
            <w:tcW w:w="2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4" w:lineRule="exact"/>
              <w:rPr>
                <w:sz w:val="20"/>
                <w:szCs w:val="20"/>
                <w:color w:val="auto"/>
              </w:rPr>
            </w:pPr>
            <w:r>
              <w:rPr>
                <w:rFonts w:ascii="Arial" w:cs="Arial" w:eastAsia="Arial" w:hAnsi="Arial"/>
                <w:sz w:val="17"/>
                <w:szCs w:val="17"/>
                <w:color w:val="auto"/>
              </w:rPr>
              <w:t>10.10#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15"/>
          </w:tcPr>
          <w:p>
            <w:pPr>
              <w:spacing w:after="0" w:line="184" w:lineRule="exact"/>
              <w:rPr>
                <w:rFonts w:ascii="Arial" w:cs="Arial" w:eastAsia="Arial" w:hAnsi="Arial"/>
                <w:sz w:val="17"/>
                <w:szCs w:val="17"/>
                <w:color w:val="0000FF"/>
              </w:rPr>
            </w:pPr>
            <w:hyperlink r:id="rId119">
              <w:r>
                <w:rPr>
                  <w:rFonts w:ascii="Arial" w:cs="Arial" w:eastAsia="Arial" w:hAnsi="Arial"/>
                  <w:sz w:val="17"/>
                  <w:szCs w:val="17"/>
                  <w:color w:val="0000FF"/>
                </w:rPr>
                <w:t>Form of Indemnification Agreement between the Company and each of its directors and executive officers</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6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auto"/>
              </w:rPr>
              <w:t>Exhibit 10.1 to the Registration Statement on Form S-1 filed on January 28, 2026).</w:t>
            </w:r>
          </w:p>
        </w:tc>
        <w:tc>
          <w:tcPr>
            <w:tcW w:w="23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698"/>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5"/>
          </w:tcPr>
          <w:p>
            <w:pPr>
              <w:jc w:val="right"/>
              <w:ind w:right="120"/>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268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4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7"/>
                <w:szCs w:val="17"/>
                <w:color w:val="auto"/>
              </w:rPr>
              <w:t>31.1*</w:t>
            </w:r>
          </w:p>
        </w:tc>
        <w:tc>
          <w:tcPr>
            <w:tcW w:w="10120" w:type="dxa"/>
            <w:vAlign w:val="bottom"/>
            <w:gridSpan w:val="5"/>
          </w:tcPr>
          <w:p>
            <w:pPr>
              <w:spacing w:after="0"/>
              <w:rPr>
                <w:sz w:val="20"/>
                <w:szCs w:val="20"/>
                <w:color w:val="auto"/>
              </w:rPr>
            </w:pPr>
            <w:r>
              <w:rPr>
                <w:rFonts w:ascii="Arial" w:cs="Arial" w:eastAsia="Arial" w:hAnsi="Arial"/>
                <w:sz w:val="17"/>
                <w:szCs w:val="17"/>
                <w:color w:val="0000FF"/>
              </w:rPr>
              <w:t>Certification of Principal Executive Officer Pursuant to Rules 13a-14(a) and 15d-14(a) under the Securities Exchange Act of 1934</w:t>
            </w:r>
            <w:r>
              <w:rPr>
                <w:rFonts w:ascii="Arial" w:cs="Arial" w:eastAsia="Arial" w:hAnsi="Arial"/>
                <w:sz w:val="17"/>
                <w:szCs w:val="17"/>
                <w:color w:val="000000"/>
              </w:rPr>
              <w:t>, as</w:t>
            </w:r>
          </w:p>
        </w:tc>
      </w:tr>
      <w:tr>
        <w:trPr>
          <w:trHeight w:val="194"/>
        </w:trPr>
        <w:tc>
          <w:tcPr>
            <w:tcW w:w="940" w:type="dxa"/>
            <w:vAlign w:val="bottom"/>
          </w:tcPr>
          <w:p>
            <w:pPr>
              <w:spacing w:after="0"/>
              <w:rPr>
                <w:sz w:val="16"/>
                <w:szCs w:val="16"/>
                <w:color w:val="auto"/>
              </w:rPr>
            </w:pPr>
          </w:p>
        </w:tc>
        <w:tc>
          <w:tcPr>
            <w:tcW w:w="9720" w:type="dxa"/>
            <w:vAlign w:val="bottom"/>
            <w:tcBorders>
              <w:top w:val="single" w:sz="8" w:color="0000FF"/>
            </w:tcBorders>
            <w:gridSpan w:val="4"/>
          </w:tcPr>
          <w:p>
            <w:pPr>
              <w:spacing w:after="0" w:line="194" w:lineRule="exact"/>
              <w:rPr>
                <w:sz w:val="20"/>
                <w:szCs w:val="20"/>
                <w:color w:val="auto"/>
              </w:rPr>
            </w:pPr>
            <w:r>
              <w:rPr>
                <w:rFonts w:ascii="Arial" w:cs="Arial" w:eastAsia="Arial" w:hAnsi="Arial"/>
                <w:sz w:val="17"/>
                <w:szCs w:val="17"/>
                <w:color w:val="auto"/>
              </w:rPr>
              <w:t>Adopted Pursuant to Section 302 of the Sarbanes-Oxley Act of 2002.</w:t>
            </w:r>
          </w:p>
        </w:tc>
        <w:tc>
          <w:tcPr>
            <w:tcW w:w="400" w:type="dxa"/>
            <w:vAlign w:val="bottom"/>
          </w:tcPr>
          <w:p>
            <w:pPr>
              <w:spacing w:after="0"/>
              <w:rPr>
                <w:sz w:val="16"/>
                <w:szCs w:val="16"/>
                <w:color w:val="auto"/>
              </w:rPr>
            </w:pPr>
          </w:p>
        </w:tc>
      </w:tr>
      <w:tr>
        <w:trPr>
          <w:trHeight w:val="183"/>
        </w:trPr>
        <w:tc>
          <w:tcPr>
            <w:tcW w:w="940" w:type="dxa"/>
            <w:vAlign w:val="bottom"/>
          </w:tcPr>
          <w:p>
            <w:pPr>
              <w:spacing w:after="0" w:line="184" w:lineRule="exact"/>
              <w:rPr>
                <w:sz w:val="20"/>
                <w:szCs w:val="20"/>
                <w:color w:val="auto"/>
              </w:rPr>
            </w:pPr>
            <w:r>
              <w:rPr>
                <w:rFonts w:ascii="Arial" w:cs="Arial" w:eastAsia="Arial" w:hAnsi="Arial"/>
                <w:sz w:val="17"/>
                <w:szCs w:val="17"/>
                <w:color w:val="auto"/>
              </w:rPr>
              <w:t>31.2*</w:t>
            </w:r>
          </w:p>
        </w:tc>
        <w:tc>
          <w:tcPr>
            <w:tcW w:w="10120" w:type="dxa"/>
            <w:vAlign w:val="bottom"/>
            <w:gridSpan w:val="5"/>
          </w:tcPr>
          <w:p>
            <w:pPr>
              <w:spacing w:after="0" w:line="184" w:lineRule="exact"/>
              <w:rPr>
                <w:sz w:val="20"/>
                <w:szCs w:val="20"/>
                <w:color w:val="auto"/>
              </w:rPr>
            </w:pPr>
            <w:r>
              <w:rPr>
                <w:rFonts w:ascii="Arial" w:cs="Arial" w:eastAsia="Arial" w:hAnsi="Arial"/>
                <w:sz w:val="17"/>
                <w:szCs w:val="17"/>
                <w:color w:val="0000FF"/>
              </w:rPr>
              <w:t>Certification of Principal Financial Officer Pursuant to Rules 13a-14(a) and 15d-14(a) under the Securities Exchange Act of 1934</w:t>
            </w:r>
            <w:r>
              <w:rPr>
                <w:rFonts w:ascii="Arial" w:cs="Arial" w:eastAsia="Arial" w:hAnsi="Arial"/>
                <w:sz w:val="17"/>
                <w:szCs w:val="17"/>
                <w:color w:val="000000"/>
              </w:rPr>
              <w:t>, as</w:t>
            </w:r>
          </w:p>
        </w:tc>
      </w:tr>
      <w:tr>
        <w:trPr>
          <w:trHeight w:val="194"/>
        </w:trPr>
        <w:tc>
          <w:tcPr>
            <w:tcW w:w="940" w:type="dxa"/>
            <w:vAlign w:val="bottom"/>
          </w:tcPr>
          <w:p>
            <w:pPr>
              <w:spacing w:after="0"/>
              <w:rPr>
                <w:sz w:val="16"/>
                <w:szCs w:val="16"/>
                <w:color w:val="auto"/>
              </w:rPr>
            </w:pPr>
          </w:p>
        </w:tc>
        <w:tc>
          <w:tcPr>
            <w:tcW w:w="9680" w:type="dxa"/>
            <w:vAlign w:val="bottom"/>
            <w:tcBorders>
              <w:top w:val="single" w:sz="8" w:color="0000FF"/>
            </w:tcBorders>
            <w:gridSpan w:val="3"/>
          </w:tcPr>
          <w:p>
            <w:pPr>
              <w:spacing w:after="0" w:line="194" w:lineRule="exact"/>
              <w:rPr>
                <w:sz w:val="20"/>
                <w:szCs w:val="20"/>
                <w:color w:val="auto"/>
              </w:rPr>
            </w:pPr>
            <w:r>
              <w:rPr>
                <w:rFonts w:ascii="Arial" w:cs="Arial" w:eastAsia="Arial" w:hAnsi="Arial"/>
                <w:sz w:val="17"/>
                <w:szCs w:val="17"/>
                <w:color w:val="auto"/>
              </w:rPr>
              <w:t>Adopted Pursuant to Section 302 of the Sarbanes-Oxley Act of 2002.</w:t>
            </w:r>
          </w:p>
        </w:tc>
        <w:tc>
          <w:tcPr>
            <w:tcW w:w="440" w:type="dxa"/>
            <w:vAlign w:val="bottom"/>
            <w:gridSpan w:val="2"/>
          </w:tcPr>
          <w:p>
            <w:pPr>
              <w:spacing w:after="0"/>
              <w:rPr>
                <w:sz w:val="16"/>
                <w:szCs w:val="16"/>
                <w:color w:val="auto"/>
              </w:rPr>
            </w:pPr>
          </w:p>
        </w:tc>
      </w:tr>
      <w:tr>
        <w:trPr>
          <w:trHeight w:val="183"/>
        </w:trPr>
        <w:tc>
          <w:tcPr>
            <w:tcW w:w="940" w:type="dxa"/>
            <w:vAlign w:val="bottom"/>
          </w:tcPr>
          <w:p>
            <w:pPr>
              <w:spacing w:after="0" w:line="184" w:lineRule="exact"/>
              <w:rPr>
                <w:sz w:val="20"/>
                <w:szCs w:val="20"/>
                <w:color w:val="auto"/>
              </w:rPr>
            </w:pPr>
            <w:r>
              <w:rPr>
                <w:rFonts w:ascii="Arial" w:cs="Arial" w:eastAsia="Arial" w:hAnsi="Arial"/>
                <w:sz w:val="17"/>
                <w:szCs w:val="17"/>
                <w:color w:val="auto"/>
              </w:rPr>
              <w:t>32.1</w:t>
            </w:r>
            <w:r>
              <w:rPr>
                <w:rFonts w:ascii="Times New Roman" w:cs="Times New Roman" w:eastAsia="Times New Roman" w:hAnsi="Times New Roman"/>
                <w:sz w:val="17"/>
                <w:szCs w:val="17"/>
                <w:color w:val="auto"/>
              </w:rPr>
              <w:t>†</w:t>
            </w:r>
          </w:p>
        </w:tc>
        <w:tc>
          <w:tcPr>
            <w:tcW w:w="10120" w:type="dxa"/>
            <w:vAlign w:val="bottom"/>
            <w:gridSpan w:val="5"/>
          </w:tcPr>
          <w:p>
            <w:pPr>
              <w:spacing w:after="0" w:line="184" w:lineRule="exact"/>
              <w:rPr>
                <w:sz w:val="20"/>
                <w:szCs w:val="20"/>
                <w:color w:val="auto"/>
              </w:rPr>
            </w:pPr>
            <w:r>
              <w:rPr>
                <w:rFonts w:ascii="Arial" w:cs="Arial" w:eastAsia="Arial" w:hAnsi="Arial"/>
                <w:sz w:val="17"/>
                <w:szCs w:val="17"/>
                <w:color w:val="0000FF"/>
              </w:rPr>
              <w:t>Certification of Principal Executive Officer Pursuant to 18 U.S.C. Section 1350</w:t>
            </w:r>
            <w:r>
              <w:rPr>
                <w:rFonts w:ascii="Arial" w:cs="Arial" w:eastAsia="Arial" w:hAnsi="Arial"/>
                <w:sz w:val="17"/>
                <w:szCs w:val="17"/>
                <w:color w:val="000000"/>
              </w:rPr>
              <w:t>, as Adopted Pursuant to Section 906 of the Sarbanes-</w:t>
            </w:r>
          </w:p>
        </w:tc>
      </w:tr>
      <w:tr>
        <w:trPr>
          <w:trHeight w:val="194"/>
        </w:trPr>
        <w:tc>
          <w:tcPr>
            <w:tcW w:w="940" w:type="dxa"/>
            <w:vAlign w:val="bottom"/>
          </w:tcPr>
          <w:p>
            <w:pPr>
              <w:spacing w:after="0"/>
              <w:rPr>
                <w:sz w:val="16"/>
                <w:szCs w:val="16"/>
                <w:color w:val="auto"/>
              </w:rPr>
            </w:pPr>
          </w:p>
        </w:tc>
        <w:tc>
          <w:tcPr>
            <w:tcW w:w="5880" w:type="dxa"/>
            <w:vAlign w:val="bottom"/>
            <w:tcBorders>
              <w:top w:val="single" w:sz="8" w:color="0000FF"/>
            </w:tcBorders>
            <w:gridSpan w:val="2"/>
          </w:tcPr>
          <w:p>
            <w:pPr>
              <w:spacing w:after="0" w:line="194" w:lineRule="exact"/>
              <w:rPr>
                <w:sz w:val="20"/>
                <w:szCs w:val="20"/>
                <w:color w:val="auto"/>
              </w:rPr>
            </w:pPr>
            <w:r>
              <w:rPr>
                <w:rFonts w:ascii="Arial" w:cs="Arial" w:eastAsia="Arial" w:hAnsi="Arial"/>
                <w:sz w:val="17"/>
                <w:szCs w:val="17"/>
                <w:color w:val="auto"/>
              </w:rPr>
              <w:t>Oxley Act of 2002.</w:t>
            </w:r>
          </w:p>
        </w:tc>
        <w:tc>
          <w:tcPr>
            <w:tcW w:w="4240" w:type="dxa"/>
            <w:vAlign w:val="bottom"/>
            <w:gridSpan w:val="3"/>
          </w:tcPr>
          <w:p>
            <w:pPr>
              <w:spacing w:after="0"/>
              <w:rPr>
                <w:sz w:val="16"/>
                <w:szCs w:val="16"/>
                <w:color w:val="auto"/>
              </w:rPr>
            </w:pPr>
          </w:p>
        </w:tc>
      </w:tr>
      <w:tr>
        <w:trPr>
          <w:trHeight w:val="183"/>
        </w:trPr>
        <w:tc>
          <w:tcPr>
            <w:tcW w:w="940" w:type="dxa"/>
            <w:vAlign w:val="bottom"/>
          </w:tcPr>
          <w:p>
            <w:pPr>
              <w:spacing w:after="0" w:line="184" w:lineRule="exact"/>
              <w:rPr>
                <w:sz w:val="20"/>
                <w:szCs w:val="20"/>
                <w:color w:val="auto"/>
              </w:rPr>
            </w:pPr>
            <w:r>
              <w:rPr>
                <w:rFonts w:ascii="Arial" w:cs="Arial" w:eastAsia="Arial" w:hAnsi="Arial"/>
                <w:sz w:val="17"/>
                <w:szCs w:val="17"/>
                <w:color w:val="auto"/>
              </w:rPr>
              <w:t>32.2</w:t>
            </w:r>
            <w:r>
              <w:rPr>
                <w:rFonts w:ascii="Times New Roman" w:cs="Times New Roman" w:eastAsia="Times New Roman" w:hAnsi="Times New Roman"/>
                <w:sz w:val="17"/>
                <w:szCs w:val="17"/>
                <w:color w:val="auto"/>
              </w:rPr>
              <w:t>†</w:t>
            </w:r>
          </w:p>
        </w:tc>
        <w:tc>
          <w:tcPr>
            <w:tcW w:w="10120" w:type="dxa"/>
            <w:vAlign w:val="bottom"/>
            <w:gridSpan w:val="5"/>
          </w:tcPr>
          <w:p>
            <w:pPr>
              <w:spacing w:after="0" w:line="184" w:lineRule="exact"/>
              <w:rPr>
                <w:sz w:val="20"/>
                <w:szCs w:val="20"/>
                <w:color w:val="auto"/>
              </w:rPr>
            </w:pPr>
            <w:r>
              <w:rPr>
                <w:rFonts w:ascii="Arial" w:cs="Arial" w:eastAsia="Arial" w:hAnsi="Arial"/>
                <w:sz w:val="17"/>
                <w:szCs w:val="17"/>
                <w:color w:val="0000FF"/>
              </w:rPr>
              <w:t>Certification of Principal Financial Officer Pursuant to 18 U.S.C. Section 1350</w:t>
            </w:r>
            <w:r>
              <w:rPr>
                <w:rFonts w:ascii="Arial" w:cs="Arial" w:eastAsia="Arial" w:hAnsi="Arial"/>
                <w:sz w:val="17"/>
                <w:szCs w:val="17"/>
                <w:color w:val="000000"/>
              </w:rPr>
              <w:t>, as Adopted Pursuant to Section 906 of the Sarbanes-</w:t>
            </w:r>
          </w:p>
        </w:tc>
      </w:tr>
      <w:tr>
        <w:trPr>
          <w:trHeight w:val="194"/>
        </w:trPr>
        <w:tc>
          <w:tcPr>
            <w:tcW w:w="940" w:type="dxa"/>
            <w:vAlign w:val="bottom"/>
          </w:tcPr>
          <w:p>
            <w:pPr>
              <w:spacing w:after="0"/>
              <w:rPr>
                <w:sz w:val="16"/>
                <w:szCs w:val="16"/>
                <w:color w:val="auto"/>
              </w:rPr>
            </w:pPr>
          </w:p>
        </w:tc>
        <w:tc>
          <w:tcPr>
            <w:tcW w:w="5820" w:type="dxa"/>
            <w:vAlign w:val="bottom"/>
            <w:tcBorders>
              <w:top w:val="single" w:sz="8" w:color="0000FF"/>
            </w:tcBorders>
          </w:tcPr>
          <w:p>
            <w:pPr>
              <w:spacing w:after="0" w:line="194" w:lineRule="exact"/>
              <w:rPr>
                <w:sz w:val="20"/>
                <w:szCs w:val="20"/>
                <w:color w:val="auto"/>
              </w:rPr>
            </w:pPr>
            <w:r>
              <w:rPr>
                <w:rFonts w:ascii="Arial" w:cs="Arial" w:eastAsia="Arial" w:hAnsi="Arial"/>
                <w:sz w:val="17"/>
                <w:szCs w:val="17"/>
                <w:color w:val="auto"/>
              </w:rPr>
              <w:t>Oxley Act of 2002.</w:t>
            </w:r>
          </w:p>
        </w:tc>
        <w:tc>
          <w:tcPr>
            <w:tcW w:w="4300" w:type="dxa"/>
            <w:vAlign w:val="bottom"/>
            <w:gridSpan w:val="4"/>
          </w:tcPr>
          <w:p>
            <w:pPr>
              <w:spacing w:after="0"/>
              <w:rPr>
                <w:sz w:val="16"/>
                <w:szCs w:val="16"/>
                <w:color w:val="auto"/>
              </w:rPr>
            </w:pPr>
          </w:p>
        </w:tc>
      </w:tr>
      <w:tr>
        <w:trPr>
          <w:trHeight w:val="170"/>
        </w:trPr>
        <w:tc>
          <w:tcPr>
            <w:tcW w:w="940" w:type="dxa"/>
            <w:vAlign w:val="bottom"/>
          </w:tcPr>
          <w:p>
            <w:pPr>
              <w:spacing w:after="0" w:line="171" w:lineRule="exact"/>
              <w:rPr>
                <w:sz w:val="20"/>
                <w:szCs w:val="20"/>
                <w:color w:val="auto"/>
              </w:rPr>
            </w:pPr>
            <w:r>
              <w:rPr>
                <w:rFonts w:ascii="Arial" w:cs="Arial" w:eastAsia="Arial" w:hAnsi="Arial"/>
                <w:sz w:val="17"/>
                <w:szCs w:val="17"/>
                <w:color w:val="auto"/>
              </w:rPr>
              <w:t>101.INS*</w:t>
            </w:r>
          </w:p>
        </w:tc>
        <w:tc>
          <w:tcPr>
            <w:tcW w:w="10120" w:type="dxa"/>
            <w:vAlign w:val="bottom"/>
            <w:gridSpan w:val="5"/>
          </w:tcPr>
          <w:p>
            <w:pPr>
              <w:spacing w:after="0" w:line="171" w:lineRule="exact"/>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 embedded</w:t>
            </w:r>
          </w:p>
        </w:tc>
      </w:tr>
      <w:tr>
        <w:trPr>
          <w:trHeight w:val="224"/>
        </w:trPr>
        <w:tc>
          <w:tcPr>
            <w:tcW w:w="940" w:type="dxa"/>
            <w:vAlign w:val="bottom"/>
          </w:tcPr>
          <w:p>
            <w:pPr>
              <w:spacing w:after="0"/>
              <w:rPr>
                <w:sz w:val="19"/>
                <w:szCs w:val="19"/>
                <w:color w:val="auto"/>
              </w:rPr>
            </w:pPr>
          </w:p>
        </w:tc>
        <w:tc>
          <w:tcPr>
            <w:tcW w:w="10120" w:type="dxa"/>
            <w:vAlign w:val="bottom"/>
            <w:gridSpan w:val="5"/>
          </w:tcPr>
          <w:p>
            <w:pPr>
              <w:spacing w:after="0"/>
              <w:rPr>
                <w:sz w:val="20"/>
                <w:szCs w:val="20"/>
                <w:color w:val="auto"/>
              </w:rPr>
            </w:pPr>
            <w:r>
              <w:rPr>
                <w:rFonts w:ascii="Arial" w:cs="Arial" w:eastAsia="Arial" w:hAnsi="Arial"/>
                <w:sz w:val="17"/>
                <w:szCs w:val="17"/>
                <w:color w:val="auto"/>
              </w:rPr>
              <w:t>within the Inline XBRL document.</w:t>
            </w:r>
          </w:p>
        </w:tc>
      </w:tr>
      <w:tr>
        <w:trPr>
          <w:trHeight w:val="220"/>
        </w:trPr>
        <w:tc>
          <w:tcPr>
            <w:tcW w:w="940" w:type="dxa"/>
            <w:vAlign w:val="bottom"/>
          </w:tcPr>
          <w:p>
            <w:pPr>
              <w:spacing w:after="0"/>
              <w:rPr>
                <w:sz w:val="20"/>
                <w:szCs w:val="20"/>
                <w:color w:val="auto"/>
              </w:rPr>
            </w:pPr>
            <w:r>
              <w:rPr>
                <w:rFonts w:ascii="Arial" w:cs="Arial" w:eastAsia="Arial" w:hAnsi="Arial"/>
                <w:sz w:val="17"/>
                <w:szCs w:val="17"/>
                <w:color w:val="auto"/>
              </w:rPr>
              <w:t>101.SCH*</w:t>
            </w:r>
          </w:p>
        </w:tc>
        <w:tc>
          <w:tcPr>
            <w:tcW w:w="10120" w:type="dxa"/>
            <w:vAlign w:val="bottom"/>
            <w:gridSpan w:val="5"/>
          </w:tcPr>
          <w:p>
            <w:pPr>
              <w:spacing w:after="0"/>
              <w:rPr>
                <w:sz w:val="20"/>
                <w:szCs w:val="20"/>
                <w:color w:val="auto"/>
              </w:rPr>
            </w:pPr>
            <w:r>
              <w:rPr>
                <w:rFonts w:ascii="Arial" w:cs="Arial" w:eastAsia="Arial" w:hAnsi="Arial"/>
                <w:sz w:val="17"/>
                <w:szCs w:val="17"/>
                <w:color w:val="auto"/>
              </w:rPr>
              <w:t>XBRL Taxonomy Extension Schema Document</w:t>
            </w:r>
          </w:p>
        </w:tc>
      </w:tr>
      <w:tr>
        <w:trPr>
          <w:trHeight w:val="218"/>
        </w:trPr>
        <w:tc>
          <w:tcPr>
            <w:tcW w:w="940" w:type="dxa"/>
            <w:vAlign w:val="bottom"/>
          </w:tcPr>
          <w:p>
            <w:pPr>
              <w:spacing w:after="0"/>
              <w:rPr>
                <w:sz w:val="20"/>
                <w:szCs w:val="20"/>
                <w:color w:val="auto"/>
              </w:rPr>
            </w:pPr>
            <w:r>
              <w:rPr>
                <w:rFonts w:ascii="Arial" w:cs="Arial" w:eastAsia="Arial" w:hAnsi="Arial"/>
                <w:sz w:val="17"/>
                <w:szCs w:val="17"/>
                <w:color w:val="auto"/>
              </w:rPr>
              <w:t>101.CAL*</w:t>
            </w:r>
          </w:p>
        </w:tc>
        <w:tc>
          <w:tcPr>
            <w:tcW w:w="10120" w:type="dxa"/>
            <w:vAlign w:val="bottom"/>
            <w:gridSpan w:val="5"/>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18"/>
        </w:trPr>
        <w:tc>
          <w:tcPr>
            <w:tcW w:w="940" w:type="dxa"/>
            <w:vAlign w:val="bottom"/>
          </w:tcPr>
          <w:p>
            <w:pPr>
              <w:spacing w:after="0"/>
              <w:rPr>
                <w:sz w:val="20"/>
                <w:szCs w:val="20"/>
                <w:color w:val="auto"/>
              </w:rPr>
            </w:pPr>
            <w:r>
              <w:rPr>
                <w:rFonts w:ascii="Arial" w:cs="Arial" w:eastAsia="Arial" w:hAnsi="Arial"/>
                <w:sz w:val="17"/>
                <w:szCs w:val="17"/>
                <w:color w:val="auto"/>
              </w:rPr>
              <w:t>101.DEF*</w:t>
            </w:r>
          </w:p>
        </w:tc>
        <w:tc>
          <w:tcPr>
            <w:tcW w:w="1012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18"/>
        </w:trPr>
        <w:tc>
          <w:tcPr>
            <w:tcW w:w="940" w:type="dxa"/>
            <w:vAlign w:val="bottom"/>
          </w:tcPr>
          <w:p>
            <w:pPr>
              <w:spacing w:after="0"/>
              <w:rPr>
                <w:sz w:val="20"/>
                <w:szCs w:val="20"/>
                <w:color w:val="auto"/>
              </w:rPr>
            </w:pPr>
            <w:r>
              <w:rPr>
                <w:rFonts w:ascii="Arial" w:cs="Arial" w:eastAsia="Arial" w:hAnsi="Arial"/>
                <w:sz w:val="17"/>
                <w:szCs w:val="17"/>
                <w:color w:val="auto"/>
              </w:rPr>
              <w:t>101.LAB*</w:t>
            </w:r>
          </w:p>
        </w:tc>
        <w:tc>
          <w:tcPr>
            <w:tcW w:w="10120" w:type="dxa"/>
            <w:vAlign w:val="bottom"/>
            <w:gridSpan w:val="5"/>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8"/>
        </w:trPr>
        <w:tc>
          <w:tcPr>
            <w:tcW w:w="940" w:type="dxa"/>
            <w:vAlign w:val="bottom"/>
          </w:tcPr>
          <w:p>
            <w:pPr>
              <w:spacing w:after="0"/>
              <w:rPr>
                <w:sz w:val="20"/>
                <w:szCs w:val="20"/>
                <w:color w:val="auto"/>
              </w:rPr>
            </w:pPr>
            <w:r>
              <w:rPr>
                <w:rFonts w:ascii="Arial" w:cs="Arial" w:eastAsia="Arial" w:hAnsi="Arial"/>
                <w:sz w:val="17"/>
                <w:szCs w:val="17"/>
                <w:color w:val="auto"/>
              </w:rPr>
              <w:t>101.PRE*</w:t>
            </w:r>
          </w:p>
        </w:tc>
        <w:tc>
          <w:tcPr>
            <w:tcW w:w="10120" w:type="dxa"/>
            <w:vAlign w:val="bottom"/>
            <w:gridSpan w:val="5"/>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4"/>
        </w:trPr>
        <w:tc>
          <w:tcPr>
            <w:tcW w:w="940" w:type="dxa"/>
            <w:vAlign w:val="bottom"/>
          </w:tcPr>
          <w:p>
            <w:pPr>
              <w:spacing w:after="0"/>
              <w:rPr>
                <w:sz w:val="20"/>
                <w:szCs w:val="20"/>
                <w:color w:val="auto"/>
              </w:rPr>
            </w:pPr>
            <w:r>
              <w:rPr>
                <w:rFonts w:ascii="Arial" w:cs="Arial" w:eastAsia="Arial" w:hAnsi="Arial"/>
                <w:sz w:val="17"/>
                <w:szCs w:val="17"/>
                <w:color w:val="auto"/>
              </w:rPr>
              <w:t>104*</w:t>
            </w:r>
          </w:p>
        </w:tc>
        <w:tc>
          <w:tcPr>
            <w:tcW w:w="10120" w:type="dxa"/>
            <w:vAlign w:val="bottom"/>
            <w:gridSpan w:val="5"/>
          </w:tcPr>
          <w:p>
            <w:pPr>
              <w:spacing w:after="0"/>
              <w:rPr>
                <w:sz w:val="20"/>
                <w:szCs w:val="20"/>
                <w:color w:val="auto"/>
              </w:rPr>
            </w:pPr>
            <w:r>
              <w:rPr>
                <w:rFonts w:ascii="Arial" w:cs="Arial" w:eastAsia="Arial" w:hAnsi="Arial"/>
                <w:sz w:val="17"/>
                <w:szCs w:val="17"/>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3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09" w:lineRule="exact"/>
        <w:rPr>
          <w:sz w:val="20"/>
          <w:szCs w:val="20"/>
          <w:color w:val="auto"/>
        </w:rPr>
      </w:pPr>
    </w:p>
    <w:p>
      <w:pPr>
        <w:ind w:left="280" w:hanging="278"/>
        <w:spacing w:after="0"/>
        <w:tabs>
          <w:tab w:leader="none" w:pos="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47" w:lineRule="exact"/>
        <w:rPr>
          <w:sz w:val="20"/>
          <w:szCs w:val="20"/>
          <w:color w:val="auto"/>
        </w:rPr>
      </w:pPr>
    </w:p>
    <w:p>
      <w:pPr>
        <w:ind w:left="280" w:hanging="278"/>
        <w:spacing w:after="0"/>
        <w:tabs>
          <w:tab w:leader="none" w:pos="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34" w:lineRule="exact"/>
        <w:rPr>
          <w:sz w:val="20"/>
          <w:szCs w:val="20"/>
          <w:color w:val="auto"/>
        </w:rPr>
      </w:pPr>
    </w:p>
    <w:p>
      <w:pPr>
        <w:ind w:firstLine="2"/>
        <w:spacing w:after="0" w:line="278" w:lineRule="auto"/>
        <w:tabs>
          <w:tab w:leader="none" w:pos="1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certification will not be deemed “filed” for purposes of Section 18 of the Exchange Act or otherwise subject to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39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160655</wp:posOffset>
            </wp:positionV>
            <wp:extent cx="716470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1122" w:right="419" w:bottom="1440" w:gutter="0" w:footer="0" w:header="0"/>
        </w:sectPr>
      </w:pPr>
    </w:p>
    <w:bookmarkStart w:id="94" w:name="page95"/>
    <w:bookmarkEnd w:id="94"/>
    <w:p>
      <w:pPr>
        <w:jc w:val="center"/>
        <w:ind w:right="-259"/>
        <w:spacing w:after="0"/>
        <w:rPr>
          <w:sz w:val="20"/>
          <w:szCs w:val="20"/>
          <w:color w:val="auto"/>
        </w:rPr>
      </w:pPr>
      <w:r>
        <w:rPr>
          <w:rFonts w:ascii="Arial" w:cs="Arial" w:eastAsia="Arial" w:hAnsi="Arial"/>
          <w:sz w:val="17"/>
          <w:szCs w:val="17"/>
          <w:b w:val="1"/>
          <w:bCs w:val="1"/>
          <w:color w:val="auto"/>
        </w:rPr>
        <w:t>SIGNATURES</w:t>
      </w:r>
    </w:p>
    <w:p>
      <w:pPr>
        <w:spacing w:after="0" w:line="3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Date: May 12, 2026</w:t>
      </w:r>
    </w:p>
    <w:p>
      <w:pPr>
        <w:spacing w:after="0" w:line="269"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VERADERMICS, INCORPORATED</w:t>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Reid Waldman,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16510</wp:posOffset>
            </wp:positionV>
            <wp:extent cx="29032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2903220" cy="8255"/>
                    </a:xfrm>
                    <a:prstGeom prst="rect">
                      <a:avLst/>
                    </a:prstGeom>
                    <a:noFill/>
                  </pic:spPr>
                </pic:pic>
              </a:graphicData>
            </a:graphic>
          </wp:anchor>
        </w:drawing>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Reid Waldman, M.D.</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Chief Executive Officer</w:t>
      </w:r>
    </w:p>
    <w:p>
      <w:pPr>
        <w:ind w:left="67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Dominic Carrano,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16510</wp:posOffset>
            </wp:positionV>
            <wp:extent cx="29032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2903220" cy="8255"/>
                    </a:xfrm>
                    <a:prstGeom prst="rect">
                      <a:avLst/>
                    </a:prstGeom>
                    <a:noFill/>
                  </pic:spPr>
                </pic:pic>
              </a:graphicData>
            </a:graphic>
          </wp:anchor>
        </w:drawing>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 Dominic Carrano, CPA</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Chief Financial Officer and Treasurer</w:t>
      </w:r>
    </w:p>
    <w:p>
      <w:pPr>
        <w:ind w:left="670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000"/>
          </w:cols>
          <w:pgMar w:left="320" w:top="1096" w:right="579" w:bottom="1440" w:gutter="0" w:footer="0" w:header="0"/>
        </w:sectPr>
      </w:pPr>
    </w:p>
    <w:bookmarkStart w:id="95" w:name="page96"/>
    <w:bookmarkEnd w:id="95"/>
    <w:p>
      <w:pPr>
        <w:spacing w:after="0" w:line="1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 Reid Waldman, M.D., certify that:</w:t>
      </w:r>
    </w:p>
    <w:p>
      <w:pPr>
        <w:spacing w:after="0" w:line="111" w:lineRule="exact"/>
        <w:rPr>
          <w:sz w:val="20"/>
          <w:szCs w:val="20"/>
          <w:color w:val="auto"/>
        </w:rPr>
      </w:pPr>
    </w:p>
    <w:p>
      <w:pPr>
        <w:ind w:left="600" w:hanging="290"/>
        <w:spacing w:after="0"/>
        <w:tabs>
          <w:tab w:leader="none" w:pos="6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Veradermics Incorporated;</w:t>
      </w:r>
    </w:p>
    <w:p>
      <w:pPr>
        <w:spacing w:after="0" w:line="110" w:lineRule="exact"/>
        <w:rPr>
          <w:rFonts w:ascii="Arial" w:cs="Arial" w:eastAsia="Arial" w:hAnsi="Arial"/>
          <w:sz w:val="16"/>
          <w:szCs w:val="16"/>
          <w:color w:val="auto"/>
        </w:rPr>
      </w:pPr>
    </w:p>
    <w:p>
      <w:pPr>
        <w:jc w:val="both"/>
        <w:ind w:left="620" w:right="160" w:hanging="310"/>
        <w:spacing w:after="0" w:line="278" w:lineRule="auto"/>
        <w:tabs>
          <w:tab w:leader="none" w:pos="6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6"/>
          <w:szCs w:val="16"/>
          <w:color w:val="auto"/>
        </w:rPr>
      </w:pPr>
    </w:p>
    <w:p>
      <w:pPr>
        <w:ind w:left="620" w:right="300" w:hanging="310"/>
        <w:spacing w:after="0" w:line="290" w:lineRule="auto"/>
        <w:tabs>
          <w:tab w:leader="none" w:pos="6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6"/>
          <w:szCs w:val="16"/>
          <w:color w:val="auto"/>
        </w:rPr>
      </w:pPr>
    </w:p>
    <w:p>
      <w:pPr>
        <w:ind w:left="620" w:right="280" w:hanging="310"/>
        <w:spacing w:after="0" w:line="278" w:lineRule="auto"/>
        <w:tabs>
          <w:tab w:leader="none" w:pos="6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Arial" w:cs="Arial" w:eastAsia="Arial" w:hAnsi="Arial"/>
          <w:sz w:val="16"/>
          <w:szCs w:val="16"/>
          <w:color w:val="auto"/>
        </w:rPr>
      </w:pPr>
    </w:p>
    <w:p>
      <w:pPr>
        <w:ind w:left="1080" w:right="20" w:hanging="232"/>
        <w:spacing w:after="0" w:line="270" w:lineRule="auto"/>
        <w:tabs>
          <w:tab w:leader="none" w:pos="10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6"/>
          <w:szCs w:val="16"/>
          <w:color w:val="auto"/>
        </w:rPr>
      </w:pPr>
    </w:p>
    <w:p>
      <w:pPr>
        <w:ind w:left="1100" w:hanging="252"/>
        <w:spacing w:after="0"/>
        <w:tabs>
          <w:tab w:leader="none" w:pos="11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123" w:lineRule="exact"/>
        <w:rPr>
          <w:rFonts w:ascii="Arial" w:cs="Arial" w:eastAsia="Arial" w:hAnsi="Arial"/>
          <w:sz w:val="16"/>
          <w:szCs w:val="16"/>
          <w:color w:val="auto"/>
        </w:rPr>
      </w:pPr>
    </w:p>
    <w:p>
      <w:pPr>
        <w:jc w:val="both"/>
        <w:ind w:left="1080" w:right="380" w:hanging="232"/>
        <w:spacing w:after="0" w:line="290" w:lineRule="auto"/>
        <w:tabs>
          <w:tab w:leader="none" w:pos="108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ind w:left="1080" w:right="80" w:hanging="232"/>
        <w:spacing w:after="0" w:line="270" w:lineRule="auto"/>
        <w:tabs>
          <w:tab w:leader="none" w:pos="10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6"/>
          <w:szCs w:val="16"/>
          <w:color w:val="auto"/>
        </w:rPr>
      </w:pPr>
    </w:p>
    <w:p>
      <w:pPr>
        <w:ind w:left="620" w:right="340" w:hanging="310"/>
        <w:spacing w:after="0" w:line="290" w:lineRule="auto"/>
        <w:tabs>
          <w:tab w:leader="none" w:pos="4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6"/>
          <w:szCs w:val="16"/>
          <w:color w:val="auto"/>
        </w:rPr>
      </w:pPr>
    </w:p>
    <w:p>
      <w:pPr>
        <w:ind w:left="1080" w:right="20" w:hanging="232"/>
        <w:spacing w:after="0" w:line="290" w:lineRule="auto"/>
        <w:tabs>
          <w:tab w:leader="none" w:pos="10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1080" w:right="480" w:hanging="232"/>
        <w:spacing w:after="0" w:line="307" w:lineRule="auto"/>
        <w:tabs>
          <w:tab w:leader="none" w:pos="1093"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Date: May 12, 2026</w:t>
      </w:r>
    </w:p>
    <w:p>
      <w:pPr>
        <w:spacing w:after="0" w:line="30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 Reid Waldman,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27305</wp:posOffset>
            </wp:positionV>
            <wp:extent cx="1536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Reid Waldman, M.D.</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Chief Executive Officer (Principal</w:t>
      </w:r>
    </w:p>
    <w:p>
      <w:pPr>
        <w:ind w:left="4940"/>
        <w:spacing w:after="0"/>
        <w:rPr>
          <w:sz w:val="20"/>
          <w:szCs w:val="20"/>
          <w:color w:val="auto"/>
        </w:rPr>
      </w:pPr>
      <w:r>
        <w:rPr>
          <w:rFonts w:ascii="Arial" w:cs="Arial" w:eastAsia="Arial" w:hAnsi="Arial"/>
          <w:sz w:val="16"/>
          <w:szCs w:val="16"/>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171288264_2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17 CFR 240.13a-14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PROMULGATED UNDER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 Dominic Carrano, CPA, certify that:</w:t>
      </w:r>
    </w:p>
    <w:p>
      <w:pPr>
        <w:spacing w:after="0" w:line="111" w:lineRule="exact"/>
        <w:rPr>
          <w:sz w:val="20"/>
          <w:szCs w:val="20"/>
          <w:color w:val="auto"/>
        </w:rPr>
      </w:pPr>
    </w:p>
    <w:p>
      <w:pPr>
        <w:ind w:left="600" w:hanging="290"/>
        <w:spacing w:after="0"/>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Veradermics Incorporated;</w:t>
      </w:r>
    </w:p>
    <w:p>
      <w:pPr>
        <w:spacing w:after="0" w:line="110" w:lineRule="exact"/>
        <w:rPr>
          <w:rFonts w:ascii="Arial" w:cs="Arial" w:eastAsia="Arial" w:hAnsi="Arial"/>
          <w:sz w:val="16"/>
          <w:szCs w:val="16"/>
          <w:color w:val="auto"/>
        </w:rPr>
      </w:pPr>
    </w:p>
    <w:p>
      <w:pPr>
        <w:jc w:val="both"/>
        <w:ind w:left="620" w:right="160" w:hanging="310"/>
        <w:spacing w:after="0" w:line="278" w:lineRule="auto"/>
        <w:tabs>
          <w:tab w:leader="none" w:pos="60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6"/>
          <w:szCs w:val="16"/>
          <w:color w:val="auto"/>
        </w:rPr>
      </w:pPr>
    </w:p>
    <w:p>
      <w:pPr>
        <w:ind w:left="620" w:right="300" w:hanging="310"/>
        <w:spacing w:after="0" w:line="290" w:lineRule="auto"/>
        <w:tabs>
          <w:tab w:leader="none" w:pos="60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6"/>
          <w:szCs w:val="16"/>
          <w:color w:val="auto"/>
        </w:rPr>
      </w:pPr>
    </w:p>
    <w:p>
      <w:pPr>
        <w:ind w:left="620" w:right="280" w:hanging="310"/>
        <w:spacing w:after="0" w:line="278" w:lineRule="auto"/>
        <w:tabs>
          <w:tab w:leader="none" w:pos="60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Arial" w:cs="Arial" w:eastAsia="Arial" w:hAnsi="Arial"/>
          <w:sz w:val="16"/>
          <w:szCs w:val="16"/>
          <w:color w:val="auto"/>
        </w:rPr>
      </w:pPr>
    </w:p>
    <w:p>
      <w:pPr>
        <w:jc w:val="both"/>
        <w:ind w:left="1000" w:right="60" w:hanging="229"/>
        <w:spacing w:after="0" w:line="270" w:lineRule="auto"/>
        <w:tabs>
          <w:tab w:leader="none" w:pos="1013"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6"/>
          <w:szCs w:val="16"/>
          <w:color w:val="auto"/>
        </w:rPr>
      </w:pPr>
    </w:p>
    <w:p>
      <w:pPr>
        <w:ind w:left="1020" w:hanging="249"/>
        <w:spacing w:after="0"/>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123" w:lineRule="exact"/>
        <w:rPr>
          <w:rFonts w:ascii="Arial" w:cs="Arial" w:eastAsia="Arial" w:hAnsi="Arial"/>
          <w:sz w:val="16"/>
          <w:szCs w:val="16"/>
          <w:color w:val="auto"/>
        </w:rPr>
      </w:pPr>
    </w:p>
    <w:p>
      <w:pPr>
        <w:jc w:val="both"/>
        <w:ind w:left="1000" w:right="460" w:hanging="229"/>
        <w:spacing w:after="0" w:line="290" w:lineRule="auto"/>
        <w:tabs>
          <w:tab w:leader="none" w:pos="1004"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ind w:left="1000" w:right="160" w:hanging="229"/>
        <w:spacing w:after="0" w:line="270" w:lineRule="auto"/>
        <w:tabs>
          <w:tab w:leader="none" w:pos="1013"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6"/>
          <w:szCs w:val="16"/>
          <w:color w:val="auto"/>
        </w:rPr>
      </w:pPr>
    </w:p>
    <w:p>
      <w:pPr>
        <w:ind w:left="620" w:right="340" w:hanging="310"/>
        <w:spacing w:after="0" w:line="290" w:lineRule="auto"/>
        <w:tabs>
          <w:tab w:leader="none" w:pos="4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6"/>
          <w:szCs w:val="16"/>
          <w:color w:val="auto"/>
        </w:rPr>
      </w:pPr>
    </w:p>
    <w:p>
      <w:pPr>
        <w:ind w:left="1000" w:right="100" w:hanging="229"/>
        <w:spacing w:after="0" w:line="290" w:lineRule="auto"/>
        <w:tabs>
          <w:tab w:leader="none" w:pos="1013"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1000" w:right="40" w:hanging="229"/>
        <w:spacing w:after="0" w:line="290" w:lineRule="auto"/>
        <w:tabs>
          <w:tab w:leader="none" w:pos="1013"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 May 12, 2026</w:t>
      </w:r>
    </w:p>
    <w:p>
      <w:pPr>
        <w:spacing w:after="0" w:line="30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 Dominic Carrano,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27305</wp:posOffset>
            </wp:positionV>
            <wp:extent cx="18948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Dominic Carrano, CPA</w:t>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Chief Financial Officer and Treasurer</w:t>
      </w:r>
    </w:p>
    <w:p>
      <w:pPr>
        <w:ind w:left="49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171288627_2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connection with the Quarterly Report of Veradermics Incorporated (the “Company”) on Form 10-Q for the quarter ended March 31, 2026 as filed with the Securities and Exchange Commission on the date hereof (the “Report”), I, Reid Waldman, M.D., Chief Executive Officer and Director of the Company, certify, pursuant to 18 U.S.C. Section 1350, as adopted pursuant to Section 906 of the Sarbanes-Oxley Act of 2002, that to the best of his knowledge:</w:t>
      </w:r>
    </w:p>
    <w:p>
      <w:pPr>
        <w:spacing w:after="0" w:line="71" w:lineRule="exact"/>
        <w:rPr>
          <w:sz w:val="20"/>
          <w:szCs w:val="20"/>
          <w:color w:val="auto"/>
        </w:rPr>
      </w:pPr>
    </w:p>
    <w:p>
      <w:pPr>
        <w:ind w:left="600" w:hanging="290"/>
        <w:spacing w:after="0"/>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(the “Exchange Act”); and</w:t>
      </w:r>
    </w:p>
    <w:p>
      <w:pPr>
        <w:spacing w:after="0" w:line="110" w:lineRule="exact"/>
        <w:rPr>
          <w:rFonts w:ascii="Arial" w:cs="Arial" w:eastAsia="Arial" w:hAnsi="Arial"/>
          <w:sz w:val="16"/>
          <w:szCs w:val="16"/>
          <w:color w:val="auto"/>
        </w:rPr>
      </w:pPr>
    </w:p>
    <w:p>
      <w:pPr>
        <w:ind w:left="600" w:hanging="290"/>
        <w:spacing w:after="0"/>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Reid Waldman,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139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Reid Waldman, M.D.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 (Principal Executive Officer)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12, 2026</w:t>
      </w:r>
    </w:p>
    <w:p>
      <w:pPr>
        <w:spacing w:after="0" w:line="21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This certification accompanies each Report pursuant to Section 906 of the Sarbanes-Oxley Act of 2002 and shall not, except to the extent required by such Act, be deemed filed by the Company for purposes of Section 18 of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signed original of this written statement required by Section 906 has been provided by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171288795_2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In connection with the Quarterly Report of Veradermics Incorporated (the “Company”) on Form 10-Q for the quarter ended March 31, 2026 as filed with the Securities and Exchange Commission on the date hereof (the “Report”), I, Dominic Carrano, CPA, Chief Financial Officer and Treasurer of the Company, certify, pursuant to 18 U.S.C. Section 1350, as adopted pursuant to Section 906 of the Sarbanes-Oxley Act of 2002, that to the best of his knowledge:</w:t>
      </w:r>
    </w:p>
    <w:p>
      <w:pPr>
        <w:spacing w:after="0" w:line="71" w:lineRule="exact"/>
        <w:rPr>
          <w:sz w:val="20"/>
          <w:szCs w:val="20"/>
          <w:color w:val="auto"/>
        </w:rPr>
      </w:pPr>
    </w:p>
    <w:p>
      <w:pPr>
        <w:ind w:left="600" w:hanging="290"/>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(the “Exchange Act”); and</w:t>
      </w:r>
    </w:p>
    <w:p>
      <w:pPr>
        <w:spacing w:after="0" w:line="110" w:lineRule="exact"/>
        <w:rPr>
          <w:rFonts w:ascii="Arial" w:cs="Arial" w:eastAsia="Arial" w:hAnsi="Arial"/>
          <w:sz w:val="16"/>
          <w:szCs w:val="16"/>
          <w:color w:val="auto"/>
        </w:rPr>
      </w:pPr>
    </w:p>
    <w:p>
      <w:pPr>
        <w:ind w:left="600" w:hanging="290"/>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Dominic Carrano,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139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Dominic Carrano, CPA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Treasurer (Principal Financial Officer)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12, 2026</w:t>
      </w:r>
    </w:p>
    <w:p>
      <w:pPr>
        <w:spacing w:after="0" w:line="21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This certification accompanies each Report pursuant to Section 906 of the Sarbanes-Oxley Act of 2002 and shall not, except to the extent required by such Act, be deemed filed by the Company for purposes of Section 18 of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signed original of this written statement required by Section 906 has been provided by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171288913_2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n"/>
      <w:numFmt w:val="bullet"/>
      <w:start w:val="1"/>
    </w:lvl>
  </w:abstractNum>
  <w:abstractNum w:abstractNumId="3">
    <w:nsid w:val="1E7FF521"/>
    <w:multiLevelType w:val="hybridMultilevel"/>
    <w:lvl w:ilvl="0">
      <w:lvlJc w:val="left"/>
      <w:lvlText w:val="n"/>
      <w:numFmt w:val="bullet"/>
      <w:start w:val="1"/>
    </w:lvl>
  </w:abstractNum>
  <w:abstractNum w:abstractNumId="4">
    <w:nsid w:val="7C3DBD3D"/>
    <w:multiLevelType w:val="hybridMultilevel"/>
    <w:lvl w:ilvl="0">
      <w:lvlJc w:val="left"/>
      <w:lvlText w:val="n"/>
      <w:numFmt w:val="bullet"/>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n"/>
      <w:numFmt w:val="bullet"/>
      <w:start w:val="1"/>
    </w:lvl>
  </w:abstractNum>
  <w:abstractNum w:abstractNumId="10">
    <w:nsid w:val="614FD4A1"/>
    <w:multiLevelType w:val="hybridMultilevel"/>
    <w:lvl w:ilvl="0">
      <w:lvlJc w:val="left"/>
      <w:lvlText w:val="n"/>
      <w:numFmt w:val="bullet"/>
      <w:start w:val="1"/>
    </w:lvl>
  </w:abstractNum>
  <w:abstractNum w:abstractNumId="11">
    <w:nsid w:val="419AC241"/>
    <w:multiLevelType w:val="hybridMultilevel"/>
    <w:lvl w:ilvl="0">
      <w:lvlJc w:val="left"/>
      <w:lvlText w:val="n"/>
      <w:numFmt w:val="bullet"/>
      <w:start w:val="1"/>
    </w:lvl>
  </w:abstractNum>
  <w:abstractNum w:abstractNumId="12">
    <w:nsid w:val="5577F8E1"/>
    <w:multiLevelType w:val="hybridMultilevel"/>
    <w:lvl w:ilvl="0">
      <w:lvlJc w:val="left"/>
      <w:lvlText w:val="n"/>
      <w:numFmt w:val="bullet"/>
      <w:start w:val="1"/>
    </w:lvl>
  </w:abstractNum>
  <w:abstractNum w:abstractNumId="13">
    <w:nsid w:val="440BADFC"/>
    <w:multiLevelType w:val="hybridMultilevel"/>
    <w:lvl w:ilvl="0">
      <w:lvlJc w:val="left"/>
      <w:lvlText w:val="n"/>
      <w:numFmt w:val="bullet"/>
      <w:start w:val="1"/>
    </w:lvl>
  </w:abstractNum>
  <w:abstractNum w:abstractNumId="14">
    <w:nsid w:val="5072367"/>
    <w:multiLevelType w:val="hybridMultilevel"/>
    <w:lvl w:ilvl="0">
      <w:lvlJc w:val="left"/>
      <w:lvlText w:val="n"/>
      <w:numFmt w:val="bullet"/>
      <w:start w:val="1"/>
    </w:lvl>
  </w:abstractNum>
  <w:abstractNum w:abstractNumId="15">
    <w:nsid w:val="3804823E"/>
    <w:multiLevelType w:val="hybridMultilevel"/>
    <w:lvl w:ilvl="0">
      <w:lvlJc w:val="left"/>
      <w:lvlText w:val="n"/>
      <w:numFmt w:val="bullet"/>
      <w:start w:val="1"/>
    </w:lvl>
  </w:abstractNum>
  <w:abstractNum w:abstractNumId="16">
    <w:nsid w:val="77465F01"/>
    <w:multiLevelType w:val="hybridMultilevel"/>
    <w:lvl w:ilvl="0">
      <w:lvlJc w:val="left"/>
      <w:lvlText w:val="n"/>
      <w:numFmt w:val="bullet"/>
      <w:start w:val="1"/>
    </w:lvl>
  </w:abstractNum>
  <w:abstractNum w:abstractNumId="17">
    <w:nsid w:val="7724C67E"/>
    <w:multiLevelType w:val="hybridMultilevel"/>
    <w:lvl w:ilvl="0">
      <w:lvlJc w:val="left"/>
      <w:lvlText w:val="n"/>
      <w:numFmt w:val="bullet"/>
      <w:start w:val="1"/>
    </w:lvl>
  </w:abstractNum>
  <w:abstractNum w:abstractNumId="18">
    <w:nsid w:val="5C482A97"/>
    <w:multiLevelType w:val="hybridMultilevel"/>
    <w:lvl w:ilvl="0">
      <w:lvlJc w:val="left"/>
      <w:lvlText w:val="n"/>
      <w:numFmt w:val="bullet"/>
      <w:start w:val="1"/>
    </w:lvl>
  </w:abstractNum>
  <w:abstractNum w:abstractNumId="19">
    <w:nsid w:val="2463B9EA"/>
    <w:multiLevelType w:val="hybridMultilevel"/>
    <w:lvl w:ilvl="0">
      <w:lvlJc w:val="left"/>
      <w:lvlText w:val="n"/>
      <w:numFmt w:val="bullet"/>
      <w:start w:val="1"/>
    </w:lvl>
  </w:abstractNum>
  <w:abstractNum w:abstractNumId="20">
    <w:nsid w:val="5E884ADC"/>
    <w:multiLevelType w:val="hybridMultilevel"/>
    <w:lvl w:ilvl="0">
      <w:lvlJc w:val="left"/>
      <w:lvlText w:val="n"/>
      <w:numFmt w:val="bullet"/>
      <w:start w:val="1"/>
    </w:lvl>
  </w:abstractNum>
  <w:abstractNum w:abstractNumId="21">
    <w:nsid w:val="51EAD36B"/>
    <w:multiLevelType w:val="hybridMultilevel"/>
    <w:lvl w:ilvl="0">
      <w:lvlJc w:val="left"/>
      <w:lvlText w:val="n"/>
      <w:numFmt w:val="bullet"/>
      <w:start w:val="1"/>
    </w:lvl>
  </w:abstractNum>
  <w:abstractNum w:abstractNumId="22">
    <w:nsid w:val="2D517796"/>
    <w:multiLevelType w:val="hybridMultilevel"/>
    <w:lvl w:ilvl="0">
      <w:lvlJc w:val="left"/>
      <w:lvlText w:val="n"/>
      <w:numFmt w:val="bullet"/>
      <w:start w:val="1"/>
    </w:lvl>
  </w:abstractNum>
  <w:abstractNum w:abstractNumId="23">
    <w:nsid w:val="580BD78F"/>
    <w:multiLevelType w:val="hybridMultilevel"/>
    <w:lvl w:ilvl="0">
      <w:lvlJc w:val="left"/>
      <w:lvlText w:val="n"/>
      <w:numFmt w:val="bullet"/>
      <w:start w:val="1"/>
    </w:lvl>
  </w:abstractNum>
  <w:abstractNum w:abstractNumId="24">
    <w:nsid w:val="153EA438"/>
    <w:multiLevelType w:val="hybridMultilevel"/>
    <w:lvl w:ilvl="0">
      <w:lvlJc w:val="left"/>
      <w:lvlText w:val="n"/>
      <w:numFmt w:val="bullet"/>
      <w:start w:val="1"/>
    </w:lvl>
  </w:abstractNum>
  <w:abstractNum w:abstractNumId="25">
    <w:nsid w:val="3855585C"/>
    <w:multiLevelType w:val="hybridMultilevel"/>
    <w:lvl w:ilvl="0">
      <w:lvlJc w:val="left"/>
      <w:lvlText w:val="n"/>
      <w:numFmt w:val="bullet"/>
      <w:start w:val="1"/>
    </w:lvl>
  </w:abstractNum>
  <w:abstractNum w:abstractNumId="26">
    <w:nsid w:val="70A64E2A"/>
    <w:multiLevelType w:val="hybridMultilevel"/>
    <w:lvl w:ilvl="0">
      <w:lvlJc w:val="left"/>
      <w:lvlText w:val="n"/>
      <w:numFmt w:val="bullet"/>
      <w:start w:val="1"/>
    </w:lvl>
  </w:abstractNum>
  <w:abstractNum w:abstractNumId="27">
    <w:nsid w:val="6A2342EC"/>
    <w:multiLevelType w:val="hybridMultilevel"/>
    <w:lvl w:ilvl="0">
      <w:lvlJc w:val="left"/>
      <w:lvlText w:val="n"/>
      <w:numFmt w:val="bullet"/>
      <w:start w:val="1"/>
    </w:lvl>
  </w:abstractNum>
  <w:abstractNum w:abstractNumId="28">
    <w:nsid w:val="2A487CB0"/>
    <w:multiLevelType w:val="hybridMultilevel"/>
    <w:lvl w:ilvl="0">
      <w:lvlJc w:val="left"/>
      <w:lvlText w:val="n"/>
      <w:numFmt w:val="bullet"/>
      <w:start w:val="1"/>
    </w:lvl>
  </w:abstractNum>
  <w:abstractNum w:abstractNumId="29">
    <w:nsid w:val="1D4ED43B"/>
    <w:multiLevelType w:val="hybridMultilevel"/>
    <w:lvl w:ilvl="0">
      <w:lvlJc w:val="left"/>
      <w:lvlText w:val="n"/>
      <w:numFmt w:val="bullet"/>
      <w:start w:val="1"/>
    </w:lvl>
  </w:abstractNum>
  <w:abstractNum w:abstractNumId="30">
    <w:nsid w:val="725A06FB"/>
    <w:multiLevelType w:val="hybridMultilevel"/>
    <w:lvl w:ilvl="0">
      <w:lvlJc w:val="left"/>
      <w:lvlText w:val="n"/>
      <w:numFmt w:val="bullet"/>
      <w:start w:val="1"/>
    </w:lvl>
  </w:abstractNum>
  <w:abstractNum w:abstractNumId="31">
    <w:nsid w:val="2CD89A32"/>
    <w:multiLevelType w:val="hybridMultilevel"/>
    <w:lvl w:ilvl="0">
      <w:lvlJc w:val="left"/>
      <w:lvlText w:val="n"/>
      <w:numFmt w:val="bullet"/>
      <w:start w:val="1"/>
    </w:lvl>
  </w:abstractNum>
  <w:abstractNum w:abstractNumId="32">
    <w:nsid w:val="57E4CCAF"/>
    <w:multiLevelType w:val="hybridMultilevel"/>
    <w:lvl w:ilvl="0">
      <w:lvlJc w:val="left"/>
      <w:lvlText w:val="n"/>
      <w:numFmt w:val="bullet"/>
      <w:start w:val="1"/>
    </w:lvl>
  </w:abstractNum>
  <w:abstractNum w:abstractNumId="33">
    <w:nsid w:val="7A6D8D3C"/>
    <w:multiLevelType w:val="hybridMultilevel"/>
    <w:lvl w:ilvl="0">
      <w:lvlJc w:val="left"/>
      <w:lvlText w:val="n"/>
      <w:numFmt w:val="bullet"/>
      <w:start w:val="1"/>
    </w:lvl>
  </w:abstractNum>
  <w:abstractNum w:abstractNumId="34">
    <w:nsid w:val="4B588F54"/>
    <w:multiLevelType w:val="hybridMultilevel"/>
    <w:lvl w:ilvl="0">
      <w:lvlJc w:val="left"/>
      <w:lvlText w:val="n"/>
      <w:numFmt w:val="bullet"/>
      <w:start w:val="1"/>
    </w:lvl>
  </w:abstractNum>
  <w:abstractNum w:abstractNumId="35">
    <w:nsid w:val="542289EC"/>
    <w:multiLevelType w:val="hybridMultilevel"/>
    <w:lvl w:ilvl="0">
      <w:lvlJc w:val="left"/>
      <w:lvlText w:val="n"/>
      <w:numFmt w:val="bullet"/>
      <w:start w:val="1"/>
    </w:lvl>
  </w:abstractNum>
  <w:abstractNum w:abstractNumId="36">
    <w:nsid w:val="6DE91B18"/>
    <w:multiLevelType w:val="hybridMultilevel"/>
    <w:lvl w:ilvl="0">
      <w:lvlJc w:val="left"/>
      <w:lvlText w:val="n"/>
      <w:numFmt w:val="bullet"/>
      <w:start w:val="1"/>
    </w:lvl>
  </w:abstractNum>
  <w:abstractNum w:abstractNumId="37">
    <w:nsid w:val="38437FDB"/>
    <w:multiLevelType w:val="hybridMultilevel"/>
    <w:lvl w:ilvl="0">
      <w:lvlJc w:val="left"/>
      <w:lvlText w:val="n"/>
      <w:numFmt w:val="bullet"/>
      <w:start w:val="1"/>
    </w:lvl>
  </w:abstractNum>
  <w:abstractNum w:abstractNumId="38">
    <w:nsid w:val="7644A45C"/>
    <w:multiLevelType w:val="hybridMultilevel"/>
    <w:lvl w:ilvl="0">
      <w:lvlJc w:val="left"/>
      <w:lvlText w:val="n"/>
      <w:numFmt w:val="bullet"/>
      <w:start w:val="1"/>
    </w:lvl>
  </w:abstractNum>
  <w:abstractNum w:abstractNumId="39">
    <w:nsid w:val="32FFF902"/>
    <w:multiLevelType w:val="hybridMultilevel"/>
    <w:lvl w:ilvl="0">
      <w:lvlJc w:val="left"/>
      <w:lvlText w:val="n"/>
      <w:numFmt w:val="bullet"/>
      <w:start w:val="1"/>
    </w:lvl>
  </w:abstractNum>
  <w:abstractNum w:abstractNumId="40">
    <w:nsid w:val="684A481A"/>
    <w:multiLevelType w:val="hybridMultilevel"/>
    <w:lvl w:ilvl="0">
      <w:lvlJc w:val="left"/>
      <w:lvlText w:val="n"/>
      <w:numFmt w:val="bullet"/>
      <w:start w:val="1"/>
    </w:lvl>
  </w:abstractNum>
  <w:abstractNum w:abstractNumId="41">
    <w:nsid w:val="579478FE"/>
    <w:multiLevelType w:val="hybridMultilevel"/>
    <w:lvl w:ilvl="0">
      <w:lvlJc w:val="left"/>
      <w:lvlText w:val="n"/>
      <w:numFmt w:val="bullet"/>
      <w:start w:val="1"/>
    </w:lvl>
  </w:abstractNum>
  <w:abstractNum w:abstractNumId="42">
    <w:nsid w:val="749ABB43"/>
    <w:multiLevelType w:val="hybridMultilevel"/>
    <w:lvl w:ilvl="0">
      <w:lvlJc w:val="left"/>
      <w:lvlText w:val="n"/>
      <w:numFmt w:val="bullet"/>
      <w:start w:val="1"/>
    </w:lvl>
  </w:abstractNum>
  <w:abstractNum w:abstractNumId="43">
    <w:nsid w:val="3DC240FB"/>
    <w:multiLevelType w:val="hybridMultilevel"/>
    <w:lvl w:ilvl="0">
      <w:lvlJc w:val="left"/>
      <w:lvlText w:val="n"/>
      <w:numFmt w:val="bullet"/>
      <w:start w:val="1"/>
    </w:lvl>
  </w:abstractNum>
  <w:abstractNum w:abstractNumId="44">
    <w:nsid w:val="1BA026FA"/>
    <w:multiLevelType w:val="hybridMultilevel"/>
    <w:lvl w:ilvl="0">
      <w:lvlJc w:val="left"/>
      <w:lvlText w:val="n"/>
      <w:numFmt w:val="bullet"/>
      <w:start w:val="1"/>
    </w:lvl>
  </w:abstractNum>
  <w:abstractNum w:abstractNumId="45">
    <w:nsid w:val="79A1DEAA"/>
    <w:multiLevelType w:val="hybridMultilevel"/>
    <w:lvl w:ilvl="0">
      <w:lvlJc w:val="left"/>
      <w:lvlText w:val="n"/>
      <w:numFmt w:val="bullet"/>
      <w:start w:val="1"/>
    </w:lvl>
  </w:abstractNum>
  <w:abstractNum w:abstractNumId="46">
    <w:nsid w:val="75C6C33A"/>
    <w:multiLevelType w:val="hybridMultilevel"/>
    <w:lvl w:ilvl="0">
      <w:lvlJc w:val="left"/>
      <w:lvlText w:val="n"/>
      <w:numFmt w:val="bullet"/>
      <w:start w:val="1"/>
    </w:lvl>
  </w:abstractNum>
  <w:abstractNum w:abstractNumId="47">
    <w:nsid w:val="12E685FB"/>
    <w:multiLevelType w:val="hybridMultilevel"/>
    <w:lvl w:ilvl="0">
      <w:lvlJc w:val="left"/>
      <w:lvlText w:val="n"/>
      <w:numFmt w:val="bullet"/>
      <w:start w:val="1"/>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07" Type="http://schemas.openxmlformats.org/officeDocument/2006/relationships/hyperlink" Target="https://www.sec.gov/Archives/edgar/data/1827635/000162828026005800/exhibit31-closing8xk.htm" TargetMode="External"/><Relationship Id="rId108" Type="http://schemas.openxmlformats.org/officeDocument/2006/relationships/hyperlink" Target="https://www.sec.gov/Archives/edgar/data/1827635/000162828026005800/exhibit32-closing8xk.htm" TargetMode="External"/><Relationship Id="rId109" Type="http://schemas.openxmlformats.org/officeDocument/2006/relationships/hyperlink" Target="https://www.sec.gov/Archives/edgar/data/1827635/000162828026003764/exhibit41-sx1a2.htm" TargetMode="External"/><Relationship Id="rId110" Type="http://schemas.openxmlformats.org/officeDocument/2006/relationships/hyperlink" Target="https://www.sec.gov/Archives/edgar/data/1827635/000162828026003764/exhibit42-sx1a2.htm" TargetMode="External"/><Relationship Id="rId111" Type="http://schemas.openxmlformats.org/officeDocument/2006/relationships/hyperlink" Target="https://www.sec.gov/Archives/edgar/data/1827635/000162828026003764/exhibit106-sx1a2.htm" TargetMode="External"/><Relationship Id="rId112" Type="http://schemas.openxmlformats.org/officeDocument/2006/relationships/hyperlink" Target="https://www.sec.gov/Archives/edgar/data/1827635/000162828026005859/exhibit44-sx8.htm" TargetMode="External"/><Relationship Id="rId113" Type="http://schemas.openxmlformats.org/officeDocument/2006/relationships/hyperlink" Target="https://www.sec.gov/Archives/edgar/data/1827635/000162828026003764/exhibit108-sx1a2.htm" TargetMode="External"/><Relationship Id="rId114" Type="http://schemas.openxmlformats.org/officeDocument/2006/relationships/hyperlink" Target="https://www.sec.gov/Archives/edgar/data/1827635/000162828026003764/exhibit109-sx1a2.htm" TargetMode="External"/><Relationship Id="rId115" Type="http://schemas.openxmlformats.org/officeDocument/2006/relationships/hyperlink" Target="https://www.sec.gov/Archives/edgar/data/1827635/000162828026003764/exhibit1011-sx1a2.htm" TargetMode="External"/><Relationship Id="rId116" Type="http://schemas.openxmlformats.org/officeDocument/2006/relationships/hyperlink" Target="https://www.sec.gov/Archives/edgar/data/1827635/000162828026003764/exhibit1012-sx1a2.htm" TargetMode="External"/><Relationship Id="rId117" Type="http://schemas.openxmlformats.org/officeDocument/2006/relationships/hyperlink" Target="https://www.sec.gov/Archives/edgar/data/1827635/000162828026003764/exhibit1013-sx1a2.htm" TargetMode="External"/><Relationship Id="rId118" Type="http://schemas.openxmlformats.org/officeDocument/2006/relationships/hyperlink" Target="https://www.sec.gov/Archives/edgar/data/1827635/000162828026003764/exhibit1014-sx1a2.htm" TargetMode="External"/><Relationship Id="rId119" Type="http://schemas.openxmlformats.org/officeDocument/2006/relationships/hyperlink" Target="https://www.sec.gov/Archives/edgar/data/1827635/000162828026003764/exhibit1015-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2026-05-12T16:24:42Z</dcterms:created>
  <dcterms:modified xsi:type="dcterms:W3CDTF">2026-05-12T16:24:42Z</dcterms:modified>
</cp:coreProperties>
</file>