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7701.xml.htm"/>
      <w:bookmarkStart w:id="1" w:name="kswkform4_1788467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Hollander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 JAMES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Veradermics, Inc</w:t>
              </w:r>
            </w:hyperlink>
            <w:r>
              <w:rPr/>
              <w:t xml:space="preserve"> [ </w:t>
            </w:r>
            <w:r>
              <w:rPr>
                <w:rFonts w:ascii="Times;serif" w:hAnsi="Times;serif"/>
                <w:color w:val="0000FF"/>
                <w:sz w:val="24"/>
                <w:shd w:fill="FFFFFF" w:val="clear"/>
              </w:rPr>
              <w:t>MANE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R&amp;D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9,650</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97.51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restricted stock units (RSUs) granted under the Veradermics, Incorporated 2026 Incentive Plan. Each RSU represents a contingent right to receive one share of Common Stock. The RSUs vest as to 25% of the RSUs on each anniversary of the grant date (September 1, 2027, September 1, 2028, September 1, 2029, and September 1, 2030),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as to 25% of the underlying shares of Common Stock on September 1, 2027, the first anniversary of the vesting commencement date, and as to the remaining shares, in equal monthly installments over 36 months thereafter, subject to continued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Greco,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3796" TargetMode="External"/><Relationship Id="rId5" Type="http://schemas.openxmlformats.org/officeDocument/2006/relationships/hyperlink" Target="http://www.sec.gov/cgi-bin/browse-edgar?action=getcompany&amp;CIK=00018276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3691</Characters>
  <CharactersWithSpaces>4295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