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5, 2026</w:t>
      </w:r>
    </w:p>
    <w:p>
      <w:pPr>
        <w:spacing w:after="0" w:line="6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78105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VERADERMICS, INCORPORATED</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77" w:lineRule="exact"/>
        <w:rPr>
          <w:sz w:val="24"/>
          <w:szCs w:val="24"/>
          <w:color w:val="auto"/>
        </w:rPr>
      </w:pPr>
    </w:p>
    <w:tbl>
      <w:tblPr>
        <w:tblLayout w:type="fixed"/>
        <w:tblInd w:w="1320" w:type="dxa"/>
        <w:tblCellMar>
          <w:top w:w="0" w:type="dxa"/>
          <w:left w:w="0" w:type="dxa"/>
          <w:bottom w:w="0" w:type="dxa"/>
          <w:right w:w="0" w:type="dxa"/>
        </w:tblCellMar>
      </w:tblPr>
      <w:tr>
        <w:trPr>
          <w:trHeight w:val="241"/>
        </w:trPr>
        <w:tc>
          <w:tcPr>
            <w:tcW w:w="4700" w:type="dxa"/>
            <w:vAlign w:val="bottom"/>
          </w:tcPr>
          <w:p>
            <w:pPr>
              <w:jc w:val="center"/>
              <w:ind w:right="16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1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84-3304423</w:t>
            </w:r>
          </w:p>
        </w:tc>
      </w:tr>
      <w:tr>
        <w:trPr>
          <w:trHeight w:val="238"/>
        </w:trPr>
        <w:tc>
          <w:tcPr>
            <w:tcW w:w="4700" w:type="dxa"/>
            <w:vAlign w:val="bottom"/>
          </w:tcPr>
          <w:p>
            <w:pPr>
              <w:jc w:val="center"/>
              <w:ind w:right="1654"/>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10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8"/>
        </w:trPr>
        <w:tc>
          <w:tcPr>
            <w:tcW w:w="4700" w:type="dxa"/>
            <w:vAlign w:val="bottom"/>
          </w:tcPr>
          <w:p>
            <w:pPr>
              <w:jc w:val="center"/>
              <w:ind w:right="1674"/>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10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446"/>
        </w:trPr>
        <w:tc>
          <w:tcPr>
            <w:tcW w:w="4700" w:type="dxa"/>
            <w:vAlign w:val="bottom"/>
          </w:tcPr>
          <w:p>
            <w:pPr>
              <w:jc w:val="center"/>
              <w:ind w:right="1654"/>
              <w:spacing w:after="0"/>
              <w:rPr>
                <w:sz w:val="20"/>
                <w:szCs w:val="20"/>
                <w:color w:val="auto"/>
              </w:rPr>
            </w:pPr>
            <w:r>
              <w:rPr>
                <w:rFonts w:ascii="Times New Roman" w:cs="Times New Roman" w:eastAsia="Times New Roman" w:hAnsi="Times New Roman"/>
                <w:sz w:val="17"/>
                <w:szCs w:val="17"/>
                <w:b w:val="1"/>
                <w:bCs w:val="1"/>
                <w:color w:val="auto"/>
              </w:rPr>
              <w:t>470 James St.</w:t>
            </w:r>
          </w:p>
        </w:tc>
        <w:tc>
          <w:tcPr>
            <w:tcW w:w="3100" w:type="dxa"/>
            <w:vAlign w:val="bottom"/>
          </w:tcPr>
          <w:p>
            <w:pPr>
              <w:spacing w:after="0"/>
              <w:rPr>
                <w:sz w:val="24"/>
                <w:szCs w:val="24"/>
                <w:color w:val="auto"/>
              </w:rPr>
            </w:pPr>
          </w:p>
        </w:tc>
      </w:tr>
      <w:tr>
        <w:trPr>
          <w:trHeight w:val="246"/>
        </w:trPr>
        <w:tc>
          <w:tcPr>
            <w:tcW w:w="4700" w:type="dxa"/>
            <w:vAlign w:val="bottom"/>
          </w:tcPr>
          <w:p>
            <w:pPr>
              <w:jc w:val="center"/>
              <w:ind w:right="1674"/>
              <w:spacing w:after="0"/>
              <w:rPr>
                <w:sz w:val="20"/>
                <w:szCs w:val="20"/>
                <w:color w:val="auto"/>
              </w:rPr>
            </w:pPr>
            <w:r>
              <w:rPr>
                <w:rFonts w:ascii="Times New Roman" w:cs="Times New Roman" w:eastAsia="Times New Roman" w:hAnsi="Times New Roman"/>
                <w:sz w:val="17"/>
                <w:szCs w:val="17"/>
                <w:b w:val="1"/>
                <w:bCs w:val="1"/>
                <w:color w:val="auto"/>
              </w:rPr>
              <w:t>New Haven, CT</w:t>
            </w:r>
          </w:p>
        </w:tc>
        <w:tc>
          <w:tcPr>
            <w:tcW w:w="31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06513</w:t>
            </w:r>
          </w:p>
        </w:tc>
      </w:tr>
      <w:tr>
        <w:trPr>
          <w:trHeight w:val="228"/>
        </w:trPr>
        <w:tc>
          <w:tcPr>
            <w:tcW w:w="4700" w:type="dxa"/>
            <w:vAlign w:val="bottom"/>
          </w:tcPr>
          <w:p>
            <w:pPr>
              <w:jc w:val="center"/>
              <w:ind w:right="1674"/>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310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VeraDermics, Incorporated 2021 Stock Plan and amendments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Veradermics, Incorporated 2026 Equity Incentive Plan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Veradermics, Incorporated 2026 Employee Stock Purchase Plan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Reid Waldman, M.D.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Veradermics, Incorporated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470 James St.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Haven, CT 06513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and address of agent for service)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(228) 372-3376</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37" w:lineRule="exact"/>
        <w:rPr>
          <w:sz w:val="24"/>
          <w:szCs w:val="24"/>
          <w:color w:val="auto"/>
        </w:rPr>
      </w:pPr>
    </w:p>
    <w:tbl>
      <w:tblPr>
        <w:tblLayout w:type="fixed"/>
        <w:tblInd w:w="194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Please send a copy of all communications to:</w:t>
            </w:r>
          </w:p>
        </w:tc>
      </w:tr>
      <w:tr>
        <w:trPr>
          <w:trHeight w:val="238"/>
        </w:trPr>
        <w:tc>
          <w:tcPr>
            <w:tcW w:w="1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Zachary Blume</w:t>
            </w:r>
          </w:p>
        </w:tc>
        <w:tc>
          <w:tcPr>
            <w:tcW w:w="5580" w:type="dxa"/>
            <w:vAlign w:val="bottom"/>
          </w:tcPr>
          <w:p>
            <w:pPr>
              <w:jc w:val="center"/>
              <w:ind w:left="3494"/>
              <w:spacing w:after="0"/>
              <w:rPr>
                <w:sz w:val="20"/>
                <w:szCs w:val="20"/>
                <w:color w:val="auto"/>
              </w:rPr>
            </w:pPr>
            <w:r>
              <w:rPr>
                <w:rFonts w:ascii="Times New Roman" w:cs="Times New Roman" w:eastAsia="Times New Roman" w:hAnsi="Times New Roman"/>
                <w:sz w:val="17"/>
                <w:szCs w:val="17"/>
                <w:b w:val="1"/>
                <w:bCs w:val="1"/>
                <w:color w:val="auto"/>
              </w:rPr>
              <w:t>Michael Greco</w:t>
            </w:r>
          </w:p>
        </w:tc>
      </w:tr>
      <w:tr>
        <w:trPr>
          <w:trHeight w:val="207"/>
        </w:trPr>
        <w:tc>
          <w:tcPr>
            <w:tcW w:w="1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Nicholas Roper</w:t>
            </w:r>
          </w:p>
        </w:tc>
        <w:tc>
          <w:tcPr>
            <w:tcW w:w="5580" w:type="dxa"/>
            <w:vAlign w:val="bottom"/>
          </w:tcPr>
          <w:p>
            <w:pPr>
              <w:jc w:val="center"/>
              <w:ind w:left="3494"/>
              <w:spacing w:after="0"/>
              <w:rPr>
                <w:sz w:val="20"/>
                <w:szCs w:val="20"/>
                <w:color w:val="auto"/>
              </w:rPr>
            </w:pPr>
            <w:r>
              <w:rPr>
                <w:rFonts w:ascii="Times New Roman" w:cs="Times New Roman" w:eastAsia="Times New Roman" w:hAnsi="Times New Roman"/>
                <w:sz w:val="17"/>
                <w:szCs w:val="17"/>
                <w:b w:val="1"/>
                <w:bCs w:val="1"/>
                <w:color w:val="auto"/>
              </w:rPr>
              <w:t>General Counsel</w:t>
            </w:r>
          </w:p>
        </w:tc>
      </w:tr>
      <w:tr>
        <w:trPr>
          <w:trHeight w:val="207"/>
        </w:trPr>
        <w:tc>
          <w:tcPr>
            <w:tcW w:w="192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Ropes &amp; Gray LLP</w:t>
            </w:r>
          </w:p>
        </w:tc>
        <w:tc>
          <w:tcPr>
            <w:tcW w:w="5580" w:type="dxa"/>
            <w:vAlign w:val="bottom"/>
          </w:tcPr>
          <w:p>
            <w:pPr>
              <w:jc w:val="center"/>
              <w:ind w:left="3494"/>
              <w:spacing w:after="0"/>
              <w:rPr>
                <w:sz w:val="20"/>
                <w:szCs w:val="20"/>
                <w:color w:val="auto"/>
              </w:rPr>
            </w:pPr>
            <w:r>
              <w:rPr>
                <w:rFonts w:ascii="Times New Roman" w:cs="Times New Roman" w:eastAsia="Times New Roman" w:hAnsi="Times New Roman"/>
                <w:sz w:val="17"/>
                <w:szCs w:val="17"/>
                <w:b w:val="1"/>
                <w:bCs w:val="1"/>
                <w:color w:val="auto"/>
              </w:rPr>
              <w:t>Veradermics, Incorporated</w:t>
            </w:r>
          </w:p>
        </w:tc>
      </w:tr>
      <w:tr>
        <w:trPr>
          <w:trHeight w:val="207"/>
        </w:trPr>
        <w:tc>
          <w:tcPr>
            <w:tcW w:w="1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Prudential Tower</w:t>
            </w:r>
          </w:p>
        </w:tc>
        <w:tc>
          <w:tcPr>
            <w:tcW w:w="5580" w:type="dxa"/>
            <w:vAlign w:val="bottom"/>
          </w:tcPr>
          <w:p>
            <w:pPr>
              <w:jc w:val="center"/>
              <w:ind w:left="3494"/>
              <w:spacing w:after="0"/>
              <w:rPr>
                <w:sz w:val="20"/>
                <w:szCs w:val="20"/>
                <w:color w:val="auto"/>
              </w:rPr>
            </w:pPr>
            <w:r>
              <w:rPr>
                <w:rFonts w:ascii="Times New Roman" w:cs="Times New Roman" w:eastAsia="Times New Roman" w:hAnsi="Times New Roman"/>
                <w:sz w:val="17"/>
                <w:szCs w:val="17"/>
                <w:b w:val="1"/>
                <w:bCs w:val="1"/>
                <w:color w:val="auto"/>
              </w:rPr>
              <w:t>470 James St.</w:t>
            </w:r>
          </w:p>
        </w:tc>
      </w:tr>
      <w:tr>
        <w:trPr>
          <w:trHeight w:val="207"/>
        </w:trPr>
        <w:tc>
          <w:tcPr>
            <w:tcW w:w="192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800 Boylston Street</w:t>
            </w:r>
          </w:p>
        </w:tc>
        <w:tc>
          <w:tcPr>
            <w:tcW w:w="5580" w:type="dxa"/>
            <w:vAlign w:val="bottom"/>
          </w:tcPr>
          <w:p>
            <w:pPr>
              <w:jc w:val="center"/>
              <w:ind w:left="3474"/>
              <w:spacing w:after="0"/>
              <w:rPr>
                <w:sz w:val="20"/>
                <w:szCs w:val="20"/>
                <w:color w:val="auto"/>
              </w:rPr>
            </w:pPr>
            <w:r>
              <w:rPr>
                <w:rFonts w:ascii="Times New Roman" w:cs="Times New Roman" w:eastAsia="Times New Roman" w:hAnsi="Times New Roman"/>
                <w:sz w:val="17"/>
                <w:szCs w:val="17"/>
                <w:b w:val="1"/>
                <w:bCs w:val="1"/>
                <w:color w:val="auto"/>
              </w:rPr>
              <w:t>New Haven, CT 06513</w:t>
            </w:r>
          </w:p>
        </w:tc>
      </w:tr>
      <w:tr>
        <w:trPr>
          <w:trHeight w:val="207"/>
        </w:trPr>
        <w:tc>
          <w:tcPr>
            <w:tcW w:w="192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Boston, MA 02199-3600</w:t>
            </w:r>
          </w:p>
        </w:tc>
        <w:tc>
          <w:tcPr>
            <w:tcW w:w="5580" w:type="dxa"/>
            <w:vAlign w:val="bottom"/>
          </w:tcPr>
          <w:p>
            <w:pPr>
              <w:jc w:val="center"/>
              <w:ind w:left="3494"/>
              <w:spacing w:after="0"/>
              <w:rPr>
                <w:sz w:val="20"/>
                <w:szCs w:val="20"/>
                <w:color w:val="auto"/>
              </w:rPr>
            </w:pPr>
            <w:r>
              <w:rPr>
                <w:rFonts w:ascii="Times New Roman" w:cs="Times New Roman" w:eastAsia="Times New Roman" w:hAnsi="Times New Roman"/>
                <w:sz w:val="17"/>
                <w:szCs w:val="17"/>
                <w:b w:val="1"/>
                <w:bCs w:val="1"/>
                <w:color w:val="auto"/>
              </w:rPr>
              <w:t>(228) 372-3376</w:t>
            </w:r>
          </w:p>
        </w:tc>
      </w:tr>
      <w:tr>
        <w:trPr>
          <w:trHeight w:val="228"/>
        </w:trPr>
        <w:tc>
          <w:tcPr>
            <w:tcW w:w="192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(617) 951-7000</w:t>
            </w:r>
          </w:p>
        </w:tc>
        <w:tc>
          <w:tcPr>
            <w:tcW w:w="55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46" w:lineRule="exact"/>
        <w:rPr>
          <w:sz w:val="24"/>
          <w:szCs w:val="24"/>
          <w:color w:val="auto"/>
        </w:rPr>
      </w:pPr>
    </w:p>
    <w:p>
      <w:pPr>
        <w:jc w:val="both"/>
        <w:ind w:right="8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4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Accelerated filer</w:t>
            </w:r>
          </w:p>
        </w:tc>
        <w:tc>
          <w:tcPr>
            <w:tcW w:w="182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1780"/>
              <w:spacing w:after="0"/>
              <w:rPr>
                <w:sz w:val="20"/>
                <w:szCs w:val="20"/>
                <w:color w:val="auto"/>
              </w:rPr>
            </w:pPr>
            <w:r>
              <w:rPr>
                <w:rFonts w:ascii="Wingdings" w:cs="Wingdings" w:eastAsia="Wingdings" w:hAnsi="Wingdings"/>
                <w:sz w:val="17"/>
                <w:szCs w:val="17"/>
                <w:b w:val="1"/>
                <w:bCs w:val="1"/>
                <w:color w:val="auto"/>
              </w:rPr>
              <w:t>x</w:t>
            </w:r>
          </w:p>
        </w:tc>
        <w:tc>
          <w:tcPr>
            <w:tcW w:w="3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820" w:type="dxa"/>
            <w:vAlign w:val="bottom"/>
          </w:tcPr>
          <w:p>
            <w:pPr>
              <w:ind w:left="1640"/>
              <w:spacing w:after="0"/>
              <w:rPr>
                <w:sz w:val="20"/>
                <w:szCs w:val="20"/>
                <w:color w:val="auto"/>
              </w:rPr>
            </w:pPr>
            <w:r>
              <w:rPr>
                <w:rFonts w:ascii="Wingdings" w:cs="Wingdings" w:eastAsia="Wingdings" w:hAnsi="Wingdings"/>
                <w:sz w:val="17"/>
                <w:szCs w:val="17"/>
                <w:b w:val="1"/>
                <w:bCs w:val="1"/>
                <w:color w:val="auto"/>
                <w:w w:val="88"/>
              </w:rPr>
              <w:t>x</w:t>
            </w:r>
          </w:p>
        </w:tc>
      </w:tr>
      <w:tr>
        <w:trPr>
          <w:trHeight w:val="226"/>
        </w:trPr>
        <w:tc>
          <w:tcPr>
            <w:tcW w:w="3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1820" w:type="dxa"/>
            <w:vAlign w:val="bottom"/>
          </w:tcPr>
          <w:p>
            <w:pPr>
              <w:ind w:left="1640"/>
              <w:spacing w:after="0"/>
              <w:rPr>
                <w:sz w:val="20"/>
                <w:szCs w:val="20"/>
                <w:color w:val="auto"/>
              </w:rPr>
            </w:pPr>
            <w:r>
              <w:rPr>
                <w:rFonts w:ascii="Wingdings" w:cs="Wingdings" w:eastAsia="Wingdings" w:hAnsi="Wingdings"/>
                <w:sz w:val="17"/>
                <w:szCs w:val="17"/>
                <w:b w:val="1"/>
                <w:bCs w:val="1"/>
                <w:color w:val="auto"/>
                <w:w w:val="88"/>
              </w:rPr>
              <w:t>x</w:t>
            </w:r>
          </w:p>
        </w:tc>
      </w:tr>
    </w:tbl>
    <w:p>
      <w:pPr>
        <w:spacing w:after="0" w:line="124"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41910</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As permitted by Rule 428(a) under the Securities Act of 1933, as amended (the “Securities Act”), this Registration Statement omits the information specified in Part I of Form S-8. The documents containing the information specified in Part I will be delivered to the participants of the VeraDermics, Incorporated 2021 Stock Plan, the Veradermics, Incorporated 2026 Equity Incentive Plan and the Veradermics, Incorporated 2026 Employee Stock Purchase Plan, as required by Rule 428(b). Such documents are not being filed with the Securities and Exchange Commission (the “SEC”) as part of this Registration Statement or as prospectuses or prospectus supplements pursuant to Rule 424 under the Securities Act.</w:t>
      </w:r>
    </w:p>
    <w:p>
      <w:pPr>
        <w:spacing w:after="0" w:line="1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by Veradermics, Incorporated (the “Registrant”) with the SEC are incorporated herein by reference:</w:t>
      </w:r>
    </w:p>
    <w:p>
      <w:pPr>
        <w:spacing w:after="0" w:line="167" w:lineRule="exact"/>
        <w:rPr>
          <w:sz w:val="20"/>
          <w:szCs w:val="20"/>
          <w:color w:val="auto"/>
        </w:rPr>
      </w:pPr>
    </w:p>
    <w:p>
      <w:pPr>
        <w:ind w:left="160"/>
        <w:spacing w:after="0"/>
        <w:tabs>
          <w:tab w:leader="none" w:pos="58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w:t>
        <w:tab/>
        <w:t xml:space="preserve">the Registrant’s Current Report on </w:t>
      </w:r>
      <w:hyperlink r:id="rId18">
        <w:r>
          <w:rPr>
            <w:rFonts w:ascii="Times New Roman" w:cs="Times New Roman" w:eastAsia="Times New Roman" w:hAnsi="Times New Roman"/>
            <w:sz w:val="17"/>
            <w:szCs w:val="17"/>
            <w:u w:val="single" w:color="auto"/>
            <w:color w:val="0000FF"/>
          </w:rPr>
          <w:t>Form 8-K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on February 5, 2026;</w:t>
      </w:r>
    </w:p>
    <w:p>
      <w:pPr>
        <w:spacing w:after="0" w:line="167" w:lineRule="exact"/>
        <w:rPr>
          <w:sz w:val="20"/>
          <w:szCs w:val="20"/>
          <w:color w:val="auto"/>
        </w:rPr>
      </w:pPr>
    </w:p>
    <w:p>
      <w:pPr>
        <w:ind w:left="620" w:hanging="461"/>
        <w:spacing w:after="0" w:line="273" w:lineRule="auto"/>
        <w:tabs>
          <w:tab w:leader="none" w:pos="25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 ) the Registrant’s prospectus filed with the SEC on February 4, 2026 pursuant to Rule 424(b) under the Securities Act relating to the registration statement on </w:t>
      </w:r>
      <w:hyperlink r:id="rId19">
        <w:r>
          <w:rPr>
            <w:rFonts w:ascii="Times New Roman" w:cs="Times New Roman" w:eastAsia="Times New Roman" w:hAnsi="Times New Roman"/>
            <w:sz w:val="17"/>
            <w:szCs w:val="17"/>
            <w:u w:val="single" w:color="auto"/>
            <w:color w:val="0000FF"/>
          </w:rPr>
          <w:t>Form S-1 (File No. 333-292657)</w:t>
        </w:r>
      </w:hyperlink>
      <w:r>
        <w:rPr>
          <w:rFonts w:ascii="Times New Roman" w:cs="Times New Roman" w:eastAsia="Times New Roman" w:hAnsi="Times New Roman"/>
          <w:sz w:val="17"/>
          <w:szCs w:val="17"/>
          <w:color w:val="auto"/>
        </w:rPr>
        <w:t>, that contains audited financial statements of the Registrant for the latest fiscal period for which such statements have been filed; and</w:t>
      </w:r>
    </w:p>
    <w:p>
      <w:pPr>
        <w:spacing w:after="0" w:line="110" w:lineRule="exact"/>
        <w:rPr>
          <w:sz w:val="20"/>
          <w:szCs w:val="20"/>
          <w:color w:val="auto"/>
        </w:rPr>
      </w:pPr>
    </w:p>
    <w:p>
      <w:pPr>
        <w:ind w:left="620" w:right="20" w:hanging="461"/>
        <w:spacing w:after="0" w:line="273" w:lineRule="auto"/>
        <w:tabs>
          <w:tab w:leader="none" w:pos="254" w:val="left"/>
        </w:tabs>
        <w:numPr>
          <w:ilvl w:val="0"/>
          <w:numId w:val="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c ) </w:t>
      </w:r>
      <w:hyperlink r:id="rId20">
        <w:r>
          <w:rPr>
            <w:rFonts w:ascii="Times New Roman" w:cs="Times New Roman" w:eastAsia="Times New Roman" w:hAnsi="Times New Roman"/>
            <w:sz w:val="17"/>
            <w:szCs w:val="17"/>
            <w:color w:val="auto"/>
          </w:rPr>
          <w:t xml:space="preserve">the description of the Registrant’s Common Stock, $0.00001 par value per share, which is contained in the Registrant’s registration statement on </w:t>
        </w:r>
        <w:r>
          <w:rPr>
            <w:rFonts w:ascii="Times New Roman" w:cs="Times New Roman" w:eastAsia="Times New Roman" w:hAnsi="Times New Roman"/>
            <w:sz w:val="17"/>
            <w:szCs w:val="17"/>
            <w:u w:val="single" w:color="auto"/>
            <w:color w:val="0000FF"/>
          </w:rPr>
          <w:t>Form 8-</w:t>
        </w:r>
      </w:hyperlink>
      <w:hyperlink r:id="rId20">
        <w:r>
          <w:rPr>
            <w:rFonts w:ascii="Times New Roman" w:cs="Times New Roman" w:eastAsia="Times New Roman" w:hAnsi="Times New Roman"/>
            <w:sz w:val="17"/>
            <w:szCs w:val="17"/>
            <w:u w:val="single" w:color="auto"/>
            <w:color w:val="0000FF"/>
          </w:rPr>
          <w:t>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filed by the Registrant with the SEC under Section 12 of the Securities Exchange Act of 1934, as amended (the “Exchange Act”), on February 3, 2026,</w:t>
        </w:r>
      </w:hyperlink>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including any amendments or reports filed for the purpose of updating such description.</w:t>
      </w:r>
    </w:p>
    <w:p>
      <w:pPr>
        <w:spacing w:after="0" w:line="110" w:lineRule="exact"/>
        <w:rPr>
          <w:rFonts w:ascii="Times New Roman" w:cs="Times New Roman" w:eastAsia="Times New Roman" w:hAnsi="Times New Roman"/>
          <w:sz w:val="17"/>
          <w:szCs w:val="17"/>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All reports and other documents filed by the Registrant after the date hereof pursuant to Sections 13(a), 13(c), 14 and 15(d) of the Exchange Act prior to the filing of a post-effective amendment to this Registration Statement that indicates that all securities offered hereby have been sold or which deregisters all securities then remaining unsold shall be deemed to be incorporated herein by reference herein and to be part hereof from the date of filing of such reports and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report or document which also is incorporated or is deemed to be incorporated by reference herein modifies or supersedes such earlier statement. Any statement so modified or superseded shall not be deemed, except as so modified or superseded, to constitute a part of this Registration Statement.</w:t>
      </w:r>
    </w:p>
    <w:p>
      <w:pPr>
        <w:spacing w:after="0" w:line="1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6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6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69" w:lineRule="exact"/>
        <w:rPr>
          <w:rFonts w:ascii="Times New Roman" w:cs="Times New Roman" w:eastAsia="Times New Roman" w:hAnsi="Times New Roman"/>
          <w:sz w:val="17"/>
          <w:szCs w:val="17"/>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As permitted by Section 102(b)(7) of the DGCL, our restated certificate of incorporation includes a provision to eliminate the personal liability of our directors and officers for monetary damages for breach of their fiduciary duties as directors or officers, subject to certain exceptions. In addition, our restated certificate of incorporation and bylaws provide that we are required to indemnify our officers and directors under certain circumstances, including those</w:t>
      </w:r>
    </w:p>
    <w:p>
      <w:pPr>
        <w:sectPr>
          <w:pgSz w:w="11900" w:h="16838" w:orient="portrait"/>
          <w:cols w:equalWidth="0" w:num="1">
            <w:col w:w="11240"/>
          </w:cols>
          <w:pgMar w:left="320" w:top="1362" w:right="339" w:bottom="1440" w:gutter="0" w:footer="0" w:header="0"/>
        </w:sectPr>
      </w:pPr>
    </w:p>
    <w:bookmarkStart w:id="2" w:name="page3"/>
    <w:bookmarkEnd w:id="2"/>
    <w:p>
      <w:pPr>
        <w:ind w:right="300"/>
        <w:spacing w:after="0" w:line="273" w:lineRule="auto"/>
        <w:rPr>
          <w:sz w:val="20"/>
          <w:szCs w:val="20"/>
          <w:color w:val="auto"/>
        </w:rPr>
      </w:pPr>
      <w:r>
        <w:rPr>
          <w:rFonts w:ascii="Times New Roman" w:cs="Times New Roman" w:eastAsia="Times New Roman" w:hAnsi="Times New Roman"/>
          <w:sz w:val="17"/>
          <w:szCs w:val="17"/>
          <w:color w:val="auto"/>
        </w:rPr>
        <w:t>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w:t>
      </w:r>
    </w:p>
    <w:p>
      <w:pPr>
        <w:spacing w:after="0" w:line="1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We have entered into indemnification agreements with our directors and officers. These indemnification agreements provide broader indemnity rights than those provided under the DGCL and our restated certificate of incorporation.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maintain directors’ and officers’ liability insurance for the benefit of our directors and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0220" w:type="dxa"/>
            <w:vAlign w:val="bottom"/>
            <w:gridSpan w:val="14"/>
          </w:tcPr>
          <w:p>
            <w:pPr>
              <w:spacing w:after="0"/>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Fifth Restated Certificate of Incorporation of the Registrant (previously filed as Exhibit 3.1 to the Registrant’s Current Report on Form 8-K filed</w:t>
              </w:r>
            </w:hyperlink>
          </w:p>
        </w:tc>
      </w:tr>
      <w:tr>
        <w:trPr>
          <w:trHeight w:val="148"/>
        </w:trPr>
        <w:tc>
          <w:tcPr>
            <w:tcW w:w="920" w:type="dxa"/>
            <w:vAlign w:val="bottom"/>
          </w:tcPr>
          <w:p>
            <w:pPr>
              <w:spacing w:after="0"/>
              <w:rPr>
                <w:sz w:val="12"/>
                <w:szCs w:val="12"/>
                <w:color w:val="auto"/>
              </w:rPr>
            </w:pPr>
          </w:p>
        </w:tc>
        <w:tc>
          <w:tcPr>
            <w:tcW w:w="9980" w:type="dxa"/>
            <w:vAlign w:val="bottom"/>
            <w:tcBorders>
              <w:top w:val="single" w:sz="8" w:color="0000FF"/>
            </w:tcBorders>
            <w:gridSpan w:val="10"/>
          </w:tcPr>
          <w:p>
            <w:pPr>
              <w:spacing w:after="0" w:line="149"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with the SEC on February 5, 2026 and incorporated herein by reference).</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0220" w:type="dxa"/>
            <w:vAlign w:val="bottom"/>
            <w:gridSpan w:val="14"/>
          </w:tcPr>
          <w:p>
            <w:pPr>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Amended and Restated Bylaws of the Registrant (previously filed as Exhibit 3.2 to the Registrant’s Current Report on Form 8-K filed with the SEC</w:t>
              </w:r>
            </w:hyperlink>
          </w:p>
        </w:tc>
      </w:tr>
      <w:tr>
        <w:trPr>
          <w:trHeight w:val="148"/>
        </w:trPr>
        <w:tc>
          <w:tcPr>
            <w:tcW w:w="920" w:type="dxa"/>
            <w:vAlign w:val="bottom"/>
          </w:tcPr>
          <w:p>
            <w:pPr>
              <w:spacing w:after="0"/>
              <w:rPr>
                <w:sz w:val="12"/>
                <w:szCs w:val="12"/>
                <w:color w:val="auto"/>
              </w:rPr>
            </w:pPr>
          </w:p>
        </w:tc>
        <w:tc>
          <w:tcPr>
            <w:tcW w:w="10200" w:type="dxa"/>
            <w:vAlign w:val="bottom"/>
            <w:tcBorders>
              <w:top w:val="single" w:sz="8" w:color="0000FF"/>
            </w:tcBorders>
            <w:gridSpan w:val="13"/>
          </w:tcPr>
          <w:p>
            <w:pPr>
              <w:spacing w:after="0" w:line="149"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on February 5, 2026 and incorporated herein by reference).</w:t>
              </w:r>
            </w:hyperlink>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10220" w:type="dxa"/>
            <w:vAlign w:val="bottom"/>
            <w:gridSpan w:val="14"/>
          </w:tcPr>
          <w:p>
            <w:pPr>
              <w:spacing w:after="0"/>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VeraDermics, Incorporated 2021 Stock Plan and amendments (previously filed as Exhibit 10.3 to the registration statement on Form S-1 filed on</w:t>
              </w:r>
            </w:hyperlink>
          </w:p>
        </w:tc>
      </w:tr>
      <w:tr>
        <w:trPr>
          <w:trHeight w:val="148"/>
        </w:trPr>
        <w:tc>
          <w:tcPr>
            <w:tcW w:w="92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8"/>
          </w:tcPr>
          <w:p>
            <w:pPr>
              <w:spacing w:after="0" w:line="149" w:lineRule="exact"/>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January 28, 2026 (File No. 333- 292657) and incorporated herein by reference).</w:t>
              </w:r>
            </w:hyperlink>
          </w:p>
        </w:tc>
        <w:tc>
          <w:tcPr>
            <w:tcW w:w="4480" w:type="dxa"/>
            <w:vAlign w:val="bottom"/>
            <w:tcBorders>
              <w:top w:val="single" w:sz="8" w:color="0000FF"/>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102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Veradermics, Incorporated 2026 Equity Incentive Plan.</w:t>
            </w: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10220" w:type="dxa"/>
            <w:vAlign w:val="bottom"/>
            <w:gridSpan w:val="14"/>
          </w:tcPr>
          <w:p>
            <w:pPr>
              <w:spacing w:after="0"/>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Veradermics, Incorporated 2026 Employee Stock Purchase Plan (previously filed as Exhibit 10.6 to the registration statement on Form S-1 filed on</w:t>
              </w:r>
            </w:hyperlink>
          </w:p>
        </w:tc>
      </w:tr>
      <w:tr>
        <w:trPr>
          <w:trHeight w:val="148"/>
        </w:trPr>
        <w:tc>
          <w:tcPr>
            <w:tcW w:w="920" w:type="dxa"/>
            <w:vAlign w:val="bottom"/>
          </w:tcPr>
          <w:p>
            <w:pPr>
              <w:spacing w:after="0"/>
              <w:rPr>
                <w:sz w:val="12"/>
                <w:szCs w:val="12"/>
                <w:color w:val="auto"/>
              </w:rPr>
            </w:pPr>
          </w:p>
        </w:tc>
        <w:tc>
          <w:tcPr>
            <w:tcW w:w="5520" w:type="dxa"/>
            <w:vAlign w:val="bottom"/>
            <w:tcBorders>
              <w:top w:val="single" w:sz="8" w:color="0000FF"/>
              <w:bottom w:val="single" w:sz="8" w:color="0000FF"/>
            </w:tcBorders>
            <w:gridSpan w:val="8"/>
          </w:tcPr>
          <w:p>
            <w:pPr>
              <w:spacing w:after="0" w:line="149" w:lineRule="exact"/>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January 28, 2026 (File No. 333- 292657) and incorporated herein by reference).</w:t>
              </w:r>
            </w:hyperlink>
          </w:p>
        </w:tc>
        <w:tc>
          <w:tcPr>
            <w:tcW w:w="4620" w:type="dxa"/>
            <w:vAlign w:val="bottom"/>
            <w:tcBorders>
              <w:top w:val="single" w:sz="8" w:color="0000FF"/>
            </w:tcBorders>
            <w:gridSpan w:val="4"/>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1022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Opinion of Ropes &amp; Gray LLP</w:t>
            </w:r>
          </w:p>
        </w:tc>
      </w:tr>
      <w:tr>
        <w:trPr>
          <w:trHeight w:val="20"/>
        </w:trPr>
        <w:tc>
          <w:tcPr>
            <w:tcW w:w="9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57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Consent of Deloitte &amp; Touche LLP independent registered public accounting firm.</w:t>
            </w:r>
          </w:p>
        </w:tc>
        <w:tc>
          <w:tcPr>
            <w:tcW w:w="4520" w:type="dxa"/>
            <w:vAlign w:val="bottom"/>
            <w:gridSpan w:val="5"/>
          </w:tcPr>
          <w:p>
            <w:pPr>
              <w:spacing w:after="0"/>
              <w:rPr>
                <w:sz w:val="24"/>
                <w:szCs w:val="24"/>
                <w:color w:val="auto"/>
              </w:rPr>
            </w:pPr>
          </w:p>
        </w:tc>
      </w:tr>
      <w:tr>
        <w:trPr>
          <w:trHeight w:val="26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5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Consent of Ropes &amp; Gray LLP (included in the opinion filed as Exhibit 5.1)</w:t>
            </w:r>
          </w:p>
        </w:tc>
        <w:tc>
          <w:tcPr>
            <w:tcW w:w="4960" w:type="dxa"/>
            <w:vAlign w:val="bottom"/>
            <w:gridSpan w:val="7"/>
          </w:tcPr>
          <w:p>
            <w:pPr>
              <w:spacing w:after="0"/>
              <w:rPr>
                <w:sz w:val="23"/>
                <w:szCs w:val="23"/>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Powers of Attorney (included on the signature page in Part II)</w:t>
            </w:r>
          </w:p>
        </w:tc>
        <w:tc>
          <w:tcPr>
            <w:tcW w:w="5940" w:type="dxa"/>
            <w:vAlign w:val="bottom"/>
            <w:gridSpan w:val="9"/>
          </w:tcPr>
          <w:p>
            <w:pPr>
              <w:spacing w:after="0"/>
              <w:rPr>
                <w:sz w:val="24"/>
                <w:szCs w:val="24"/>
                <w:color w:val="auto"/>
              </w:rPr>
            </w:pPr>
          </w:p>
        </w:tc>
      </w:tr>
      <w:tr>
        <w:trPr>
          <w:trHeight w:val="27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1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Filing Fee Table.</w:t>
            </w:r>
          </w:p>
        </w:tc>
        <w:tc>
          <w:tcPr>
            <w:tcW w:w="9040" w:type="dxa"/>
            <w:vAlign w:val="bottom"/>
            <w:gridSpan w:val="13"/>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undersigned Registrant hereby undertakes:</w:t>
      </w:r>
    </w:p>
    <w:p>
      <w:pPr>
        <w:spacing w:after="0" w:line="167" w:lineRule="exact"/>
        <w:rPr>
          <w:sz w:val="20"/>
          <w:szCs w:val="20"/>
          <w:color w:val="auto"/>
        </w:rPr>
      </w:pPr>
    </w:p>
    <w:p>
      <w:pPr>
        <w:ind w:left="240" w:hanging="236"/>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7"/>
          <w:szCs w:val="17"/>
          <w:color w:val="auto"/>
        </w:rPr>
      </w:pPr>
    </w:p>
    <w:p>
      <w:pPr>
        <w:ind w:left="500" w:hanging="341"/>
        <w:spacing w:after="0"/>
        <w:tabs>
          <w:tab w:leader="none" w:pos="5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67" w:lineRule="exact"/>
        <w:rPr>
          <w:rFonts w:ascii="Times New Roman" w:cs="Times New Roman" w:eastAsia="Times New Roman" w:hAnsi="Times New Roman"/>
          <w:sz w:val="17"/>
          <w:szCs w:val="17"/>
          <w:color w:val="auto"/>
        </w:rPr>
      </w:pPr>
    </w:p>
    <w:p>
      <w:pPr>
        <w:ind w:left="620" w:right="60" w:hanging="461"/>
        <w:spacing w:after="0" w:line="261" w:lineRule="auto"/>
        <w:tabs>
          <w:tab w:leader="none" w:pos="53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23" w:lineRule="exact"/>
        <w:rPr>
          <w:rFonts w:ascii="Times New Roman" w:cs="Times New Roman" w:eastAsia="Times New Roman" w:hAnsi="Times New Roman"/>
          <w:sz w:val="17"/>
          <w:szCs w:val="17"/>
          <w:color w:val="auto"/>
        </w:rPr>
      </w:pPr>
    </w:p>
    <w:p>
      <w:pPr>
        <w:ind w:left="620" w:hanging="461"/>
        <w:spacing w:after="0" w:line="291" w:lineRule="auto"/>
        <w:tabs>
          <w:tab w:leader="none" w:pos="582"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above shall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reports filed with or furnished to the Commission by the Registrant pursuant to Section 13 or 15(d) of the Exchange Act that are incorporated by reference in the Registration Statement.</w:t>
      </w:r>
    </w:p>
    <w:p>
      <w:pPr>
        <w:sectPr>
          <w:pgSz w:w="11900" w:h="16838" w:orient="portrait"/>
          <w:cols w:equalWidth="0" w:num="1">
            <w:col w:w="11140"/>
          </w:cols>
          <w:pgMar w:left="320" w:top="1362" w:right="439" w:bottom="1440" w:gutter="0" w:footer="0" w:header="0"/>
        </w:sectPr>
      </w:pPr>
    </w:p>
    <w:bookmarkStart w:id="4" w:name="page5"/>
    <w:bookmarkEnd w:id="4"/>
    <w:p>
      <w:pPr>
        <w:jc w:val="both"/>
        <w:ind w:left="-4" w:right="400" w:firstLine="4"/>
        <w:spacing w:after="0" w:line="291" w:lineRule="auto"/>
        <w:tabs>
          <w:tab w:leader="none" w:pos="2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95" w:lineRule="exact"/>
        <w:rPr>
          <w:rFonts w:ascii="Times New Roman" w:cs="Times New Roman" w:eastAsia="Times New Roman" w:hAnsi="Times New Roman"/>
          <w:sz w:val="17"/>
          <w:szCs w:val="17"/>
          <w:color w:val="auto"/>
        </w:rPr>
      </w:pPr>
    </w:p>
    <w:p>
      <w:pPr>
        <w:ind w:left="-4" w:right="340" w:firstLine="4"/>
        <w:spacing w:after="0" w:line="291" w:lineRule="auto"/>
        <w:tabs>
          <w:tab w:leader="none" w:pos="2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96" w:lineRule="exact"/>
        <w:rPr>
          <w:sz w:val="20"/>
          <w:szCs w:val="20"/>
          <w:color w:val="auto"/>
        </w:rPr>
      </w:pPr>
    </w:p>
    <w:p>
      <w:pPr>
        <w:ind w:left="-4" w:right="60" w:firstLine="4"/>
        <w:spacing w:after="0" w:line="266" w:lineRule="auto"/>
        <w:tabs>
          <w:tab w:leader="none" w:pos="24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17" w:lineRule="exact"/>
        <w:rPr>
          <w:rFonts w:ascii="Times New Roman" w:cs="Times New Roman" w:eastAsia="Times New Roman" w:hAnsi="Times New Roman"/>
          <w:sz w:val="17"/>
          <w:szCs w:val="17"/>
          <w:color w:val="auto"/>
        </w:rPr>
      </w:pPr>
    </w:p>
    <w:p>
      <w:pPr>
        <w:ind w:left="-4" w:firstLine="4"/>
        <w:spacing w:after="0" w:line="260" w:lineRule="auto"/>
        <w:tabs>
          <w:tab w:leader="none" w:pos="23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56"/>
          </w:cols>
          <w:pgMar w:left="324" w:top="1364"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00" w:firstLine="6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Haven, Connecticut, on this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February, 2026.</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VERADERMICS, INCORPORATED</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9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Reid Waldman, M.D.</w:t>
            </w:r>
          </w:p>
        </w:tc>
      </w:tr>
      <w:tr>
        <w:trPr>
          <w:trHeight w:val="208"/>
        </w:trPr>
        <w:tc>
          <w:tcPr>
            <w:tcW w:w="116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Reid Waldman, M.D.</w:t>
            </w:r>
          </w:p>
        </w:tc>
      </w:tr>
      <w:tr>
        <w:trPr>
          <w:trHeight w:val="226"/>
        </w:trPr>
        <w:tc>
          <w:tcPr>
            <w:tcW w:w="116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Executive Officer</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ind w:firstLine="622"/>
        <w:spacing w:after="0" w:line="260"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Reid Waldman, M.D. and Dominic Carrano,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to be filed by Veradermics, Incorporated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and each of them, or their substitutes, may lawfully do or cause to be done by virtue 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w:t>
      </w:r>
    </w:p>
    <w:p>
      <w:pPr>
        <w:spacing w:after="0" w:line="167" w:lineRule="exact"/>
        <w:rPr>
          <w:sz w:val="20"/>
          <w:szCs w:val="20"/>
          <w:color w:val="auto"/>
        </w:rPr>
      </w:pPr>
    </w:p>
    <w:p>
      <w:pPr>
        <w:ind w:right="100" w:firstLine="62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362" w:right="339" w:bottom="1440" w:gutter="0" w:footer="0" w:header="0"/>
        </w:sectPr>
      </w:pP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254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Reid Waldman,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254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Reid Waldman, M.D.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Dominic Carrano,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2549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Dominic Carrano, CPA</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David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2549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David Friedman, M.D.</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W.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2549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W. Childs</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Vlad Coric,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2549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Vlad Coric, M.D.</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Patrick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549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Patrick Enright</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Jane Grant-Kels,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549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Jane Grant-Kels, M.D.</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Katarina Pance,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2549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Katarina Pance, Ph.D.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4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3"/>
        </w:trPr>
        <w:tc>
          <w:tcPr>
            <w:tcW w:w="4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137"/>
        </w:trPr>
        <w:tc>
          <w:tcPr>
            <w:tcW w:w="4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840" w:type="dxa"/>
            <w:vAlign w:val="bottom"/>
            <w:gridSpan w:val="2"/>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137"/>
        </w:trPr>
        <w:tc>
          <w:tcPr>
            <w:tcW w:w="4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840" w:type="dxa"/>
            <w:vAlign w:val="bottom"/>
            <w:gridSpan w:val="2"/>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557"/>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557"/>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531"/>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544"/>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r>
        <w:trPr>
          <w:trHeight w:val="557"/>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5, 2026</w:t>
            </w:r>
          </w:p>
        </w:tc>
        <w:tc>
          <w:tcPr>
            <w:tcW w:w="0" w:type="dxa"/>
            <w:vAlign w:val="bottom"/>
          </w:tcPr>
          <w:p>
            <w:pPr>
              <w:spacing w:after="0"/>
              <w:rPr>
                <w:sz w:val="1"/>
                <w:szCs w:val="1"/>
                <w:color w:val="auto"/>
              </w:rPr>
            </w:pPr>
          </w:p>
        </w:tc>
      </w:tr>
    </w:tbl>
    <w:p>
      <w:pPr>
        <w:sectPr>
          <w:pgSz w:w="11900" w:h="16838" w:orient="portrait"/>
          <w:cols w:equalWidth="0" w:num="2">
            <w:col w:w="3380" w:space="720"/>
            <w:col w:w="7140"/>
          </w:cols>
          <w:pgMar w:left="320" w:top="1362" w:right="339" w:bottom="1440" w:gutter="0" w:footer="0" w:header="0"/>
          <w:type w:val="continuous"/>
        </w:sectPr>
      </w:pPr>
    </w:p>
    <w:bookmarkStart w:id="6" w:name="page7"/>
    <w:bookmarkEnd w:id="6"/>
    <w:p>
      <w:pPr>
        <w:ind w:left="2380"/>
        <w:spacing w:after="0"/>
        <w:rPr>
          <w:sz w:val="20"/>
          <w:szCs w:val="20"/>
          <w:color w:val="auto"/>
        </w:rPr>
      </w:pPr>
      <w:r>
        <w:rPr>
          <w:rFonts w:ascii="Arial" w:cs="Arial" w:eastAsia="Arial" w:hAnsi="Arial"/>
          <w:sz w:val="34"/>
          <w:szCs w:val="34"/>
          <w:b w:val="1"/>
          <w:bCs w:val="1"/>
          <w:color w:val="auto"/>
        </w:rPr>
        <w:t>Calculation of Filing Fee Tables</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35"/>
          <w:szCs w:val="35"/>
          <w:b w:val="1"/>
          <w:bCs w:val="1"/>
          <w:color w:val="auto"/>
        </w:rPr>
        <w:t>Veradermics,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33655</wp:posOffset>
            </wp:positionV>
            <wp:extent cx="6426835" cy="6188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426835" cy="6188710"/>
                    </a:xfrm>
                    <a:prstGeom prst="rect">
                      <a:avLst/>
                    </a:prstGeom>
                    <a:noFill/>
                  </pic:spPr>
                </pic:pic>
              </a:graphicData>
            </a:graphic>
          </wp:anchor>
        </w:drawing>
      </w:r>
    </w:p>
    <w:p>
      <w:pPr>
        <w:sectPr>
          <w:pgSz w:w="11900" w:h="16838" w:orient="portrait"/>
          <w:cols w:equalWidth="0" w:num="1">
            <w:col w:w="10040"/>
          </w:cols>
          <w:pgMar w:left="920" w:top="141" w:right="939" w:bottom="0" w:gutter="0" w:footer="0" w:header="0"/>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453"/>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Security</w:t>
            </w:r>
          </w:p>
        </w:tc>
        <w:tc>
          <w:tcPr>
            <w:tcW w:w="40" w:type="dxa"/>
            <w:vAlign w:val="bottom"/>
          </w:tcPr>
          <w:p>
            <w:pPr>
              <w:spacing w:after="0"/>
              <w:rPr>
                <w:sz w:val="24"/>
                <w:szCs w:val="24"/>
                <w:color w:val="auto"/>
              </w:rPr>
            </w:pPr>
          </w:p>
        </w:tc>
        <w:tc>
          <w:tcPr>
            <w:tcW w:w="1280" w:type="dxa"/>
            <w:vAlign w:val="bottom"/>
            <w:vMerge w:val="restart"/>
            <w:shd w:val="clear" w:color="auto" w:fill="9ADAF6"/>
          </w:tcPr>
          <w:p>
            <w:pPr>
              <w:ind w:left="22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Fee</w:t>
            </w:r>
          </w:p>
        </w:tc>
        <w:tc>
          <w:tcPr>
            <w:tcW w:w="20" w:type="dxa"/>
            <w:vAlign w:val="bottom"/>
          </w:tcPr>
          <w:p>
            <w:pPr>
              <w:spacing w:after="0"/>
              <w:rPr>
                <w:sz w:val="24"/>
                <w:szCs w:val="24"/>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208"/>
        </w:trPr>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28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0" w:type="dxa"/>
            <w:vAlign w:val="bottom"/>
          </w:tcPr>
          <w:p>
            <w:pPr>
              <w:spacing w:after="0"/>
              <w:rPr>
                <w:sz w:val="1"/>
                <w:szCs w:val="1"/>
                <w:color w:val="auto"/>
              </w:rPr>
            </w:pPr>
          </w:p>
        </w:tc>
      </w:tr>
      <w:tr>
        <w:trPr>
          <w:trHeight w:val="76"/>
        </w:trPr>
        <w:tc>
          <w:tcPr>
            <w:tcW w:w="1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w w:val="99"/>
              </w:rPr>
              <w:t>VeraDermics,</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Incorporated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2021 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Plan -</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2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5"/>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3,713,205</w:t>
            </w: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$0.00001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Veradermics,</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Incorporated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2026 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Plan -</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5"/>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4,032,583</w:t>
            </w:r>
          </w:p>
        </w:tc>
        <w:tc>
          <w:tcPr>
            <w:tcW w:w="0" w:type="dxa"/>
            <w:vAlign w:val="bottom"/>
          </w:tcPr>
          <w:p>
            <w:pPr>
              <w:spacing w:after="0"/>
              <w:rPr>
                <w:sz w:val="1"/>
                <w:szCs w:val="1"/>
                <w:color w:val="auto"/>
              </w:rPr>
            </w:pPr>
          </w:p>
        </w:tc>
      </w:tr>
      <w:tr>
        <w:trPr>
          <w:trHeight w:val="157"/>
        </w:trPr>
        <w:tc>
          <w:tcPr>
            <w:tcW w:w="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shd w:val="clear" w:color="auto" w:fill="E7E7E2"/>
          </w:tcPr>
          <w:p>
            <w:pPr>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$0.00001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21"/>
                <w:szCs w:val="21"/>
                <w:color w:val="auto"/>
              </w:rPr>
              <w:t>Veradermics,</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line="233" w:lineRule="exact"/>
              <w:rPr>
                <w:sz w:val="20"/>
                <w:szCs w:val="20"/>
                <w:color w:val="auto"/>
              </w:rPr>
            </w:pPr>
            <w:r>
              <w:rPr>
                <w:rFonts w:ascii="Arial" w:cs="Arial" w:eastAsia="Arial" w:hAnsi="Arial"/>
                <w:sz w:val="21"/>
                <w:szCs w:val="21"/>
                <w:color w:val="auto"/>
              </w:rPr>
              <w:t>Incorporated</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gridSpan w:val="2"/>
          </w:tcPr>
          <w:p>
            <w:pPr>
              <w:ind w:left="40"/>
              <w:spacing w:after="0" w:line="233" w:lineRule="exact"/>
              <w:rPr>
                <w:sz w:val="20"/>
                <w:szCs w:val="20"/>
                <w:color w:val="auto"/>
              </w:rPr>
            </w:pPr>
            <w:r>
              <w:rPr>
                <w:rFonts w:ascii="Arial" w:cs="Arial" w:eastAsia="Arial" w:hAnsi="Arial"/>
                <w:sz w:val="21"/>
                <w:szCs w:val="21"/>
                <w:color w:val="auto"/>
              </w:rPr>
              <w:t>2026</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line="233"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100" w:type="dxa"/>
            <w:vAlign w:val="bottom"/>
            <w:gridSpan w:val="3"/>
          </w:tcPr>
          <w:p>
            <w:pPr>
              <w:ind w:left="20"/>
              <w:spacing w:after="0"/>
              <w:rPr>
                <w:sz w:val="20"/>
                <w:szCs w:val="20"/>
                <w:color w:val="auto"/>
              </w:rPr>
            </w:pPr>
            <w:r>
              <w:rPr>
                <w:rFonts w:ascii="Arial" w:cs="Arial" w:eastAsia="Arial" w:hAnsi="Arial"/>
                <w:sz w:val="21"/>
                <w:szCs w:val="21"/>
                <w:color w:val="auto"/>
              </w:rPr>
              <w:t>3 Equity</w:t>
            </w:r>
          </w:p>
        </w:tc>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21"/>
                <w:szCs w:val="21"/>
                <w:color w:val="auto"/>
                <w:w w:val="95"/>
              </w:rPr>
              <w:t>Other</w:t>
            </w:r>
          </w:p>
        </w:tc>
        <w:tc>
          <w:tcPr>
            <w:tcW w:w="1120" w:type="dxa"/>
            <w:vAlign w:val="bottom"/>
            <w:gridSpan w:val="2"/>
          </w:tcPr>
          <w:p>
            <w:pPr>
              <w:jc w:val="right"/>
              <w:spacing w:after="0"/>
              <w:rPr>
                <w:sz w:val="20"/>
                <w:szCs w:val="20"/>
                <w:color w:val="auto"/>
              </w:rPr>
            </w:pPr>
            <w:r>
              <w:rPr>
                <w:rFonts w:ascii="Arial" w:cs="Arial" w:eastAsia="Arial" w:hAnsi="Arial"/>
                <w:sz w:val="21"/>
                <w:szCs w:val="21"/>
                <w:color w:val="auto"/>
              </w:rPr>
              <w:t>316,668</w:t>
            </w:r>
          </w:p>
        </w:tc>
        <w:tc>
          <w:tcPr>
            <w:tcW w:w="0" w:type="dxa"/>
            <w:vAlign w:val="bottom"/>
          </w:tcPr>
          <w:p>
            <w:pPr>
              <w:spacing w:after="0"/>
              <w:rPr>
                <w:sz w:val="1"/>
                <w:szCs w:val="1"/>
                <w:color w:val="auto"/>
              </w:rPr>
            </w:pPr>
          </w:p>
        </w:tc>
      </w:tr>
    </w:tbl>
    <w:p>
      <w:pPr>
        <w:ind w:left="1160"/>
        <w:spacing w:after="0" w:line="211" w:lineRule="auto"/>
        <w:rPr>
          <w:sz w:val="20"/>
          <w:szCs w:val="20"/>
          <w:color w:val="auto"/>
        </w:rPr>
      </w:pPr>
      <w:r>
        <w:rPr>
          <w:rFonts w:ascii="Arial" w:cs="Arial" w:eastAsia="Arial" w:hAnsi="Arial"/>
          <w:sz w:val="21"/>
          <w:szCs w:val="21"/>
          <w:color w:val="auto"/>
        </w:rPr>
        <w:t>Plan -</w:t>
      </w:r>
    </w:p>
    <w:p>
      <w:pPr>
        <w:ind w:left="1160"/>
        <w:spacing w:after="0" w:line="232" w:lineRule="auto"/>
        <w:rPr>
          <w:sz w:val="20"/>
          <w:szCs w:val="20"/>
          <w:color w:val="auto"/>
        </w:rPr>
      </w:pPr>
      <w:r>
        <w:rPr>
          <w:rFonts w:ascii="Arial" w:cs="Arial" w:eastAsia="Arial" w:hAnsi="Arial"/>
          <w:sz w:val="21"/>
          <w:szCs w:val="21"/>
          <w:color w:val="auto"/>
        </w:rPr>
        <w:t>Common</w:t>
      </w:r>
    </w:p>
    <w:p>
      <w:pPr>
        <w:ind w:left="1160"/>
        <w:spacing w:after="0" w:line="231" w:lineRule="auto"/>
        <w:rPr>
          <w:sz w:val="20"/>
          <w:szCs w:val="20"/>
          <w:color w:val="auto"/>
        </w:rPr>
      </w:pPr>
      <w:r>
        <w:rPr>
          <w:rFonts w:ascii="Arial" w:cs="Arial" w:eastAsia="Arial" w:hAnsi="Arial"/>
          <w:sz w:val="21"/>
          <w:szCs w:val="21"/>
          <w:color w:val="auto"/>
        </w:rPr>
        <w:t>Stock,</w:t>
      </w:r>
    </w:p>
    <w:p>
      <w:pPr>
        <w:ind w:left="1160"/>
        <w:spacing w:after="0" w:line="232" w:lineRule="auto"/>
        <w:rPr>
          <w:sz w:val="20"/>
          <w:szCs w:val="20"/>
          <w:color w:val="auto"/>
        </w:rPr>
      </w:pPr>
      <w:r>
        <w:rPr>
          <w:rFonts w:ascii="Arial" w:cs="Arial" w:eastAsia="Arial" w:hAnsi="Arial"/>
          <w:sz w:val="21"/>
          <w:szCs w:val="21"/>
          <w:color w:val="auto"/>
        </w:rPr>
        <w:t>$0.00001 par</w:t>
      </w:r>
    </w:p>
    <w:p>
      <w:pPr>
        <w:ind w:left="1160"/>
        <w:spacing w:after="0" w:line="232" w:lineRule="auto"/>
        <w:rPr>
          <w:sz w:val="20"/>
          <w:szCs w:val="20"/>
          <w:color w:val="auto"/>
        </w:rPr>
      </w:pPr>
      <w:r>
        <w:rPr>
          <w:rFonts w:ascii="Arial" w:cs="Arial" w:eastAsia="Arial" w:hAnsi="Arial"/>
          <w:sz w:val="21"/>
          <w:szCs w:val="21"/>
          <w:color w:val="auto"/>
        </w:rPr>
        <w:t>value per</w:t>
      </w:r>
    </w:p>
    <w:p>
      <w:pPr>
        <w:ind w:left="1160"/>
        <w:spacing w:after="0"/>
        <w:rPr>
          <w:sz w:val="20"/>
          <w:szCs w:val="20"/>
          <w:color w:val="auto"/>
        </w:rPr>
      </w:pPr>
      <w:r>
        <w:rPr>
          <w:rFonts w:ascii="Arial" w:cs="Arial" w:eastAsia="Arial" w:hAnsi="Arial"/>
          <w:sz w:val="21"/>
          <w:szCs w:val="21"/>
          <w:color w:val="auto"/>
        </w:rPr>
        <w:t>share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Proposed</w:t>
            </w:r>
          </w:p>
        </w:tc>
        <w:tc>
          <w:tcPr>
            <w:tcW w:w="40" w:type="dxa"/>
            <w:vAlign w:val="bottom"/>
          </w:tcPr>
          <w:p>
            <w:pPr>
              <w:spacing w:after="0"/>
              <w:rPr>
                <w:sz w:val="21"/>
                <w:szCs w:val="21"/>
                <w:color w:val="auto"/>
              </w:rPr>
            </w:pPr>
          </w:p>
        </w:tc>
        <w:tc>
          <w:tcPr>
            <w:tcW w:w="1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shd w:val="clear" w:color="auto" w:fill="9ADAF6"/>
          </w:tcPr>
          <w:p>
            <w:pPr>
              <w:spacing w:after="0"/>
              <w:rPr>
                <w:sz w:val="21"/>
                <w:szCs w:val="21"/>
                <w:color w:val="auto"/>
              </w:rPr>
            </w:pPr>
          </w:p>
        </w:tc>
      </w:tr>
      <w:tr>
        <w:trPr>
          <w:trHeight w:val="233"/>
        </w:trPr>
        <w:tc>
          <w:tcPr>
            <w:tcW w:w="12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Amount of</w:t>
            </w:r>
          </w:p>
        </w:tc>
      </w:tr>
      <w:tr>
        <w:trPr>
          <w:trHeight w:val="233"/>
        </w:trPr>
        <w:tc>
          <w:tcPr>
            <w:tcW w:w="12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ind w:left="80"/>
              <w:spacing w:after="0" w:line="233"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Registration</w:t>
            </w:r>
          </w:p>
        </w:tc>
      </w:tr>
      <w:tr>
        <w:trPr>
          <w:trHeight w:val="233"/>
        </w:trPr>
        <w:tc>
          <w:tcPr>
            <w:tcW w:w="12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Price Per</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Fee</w:t>
            </w:r>
          </w:p>
        </w:tc>
      </w:tr>
      <w:tr>
        <w:trPr>
          <w:trHeight w:val="272"/>
        </w:trPr>
        <w:tc>
          <w:tcPr>
            <w:tcW w:w="12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3"/>
                <w:szCs w:val="23"/>
                <w:color w:val="auto"/>
              </w:rPr>
            </w:pPr>
          </w:p>
        </w:tc>
        <w:tc>
          <w:tcPr>
            <w:tcW w:w="15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shd w:val="clear" w:color="auto" w:fill="9ADAF6"/>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tabs>
          <w:tab w:leader="none" w:pos="4280" w:val="left"/>
        </w:tabs>
        <w:rPr>
          <w:sz w:val="20"/>
          <w:szCs w:val="20"/>
          <w:color w:val="auto"/>
        </w:rPr>
      </w:pPr>
      <w:r>
        <w:rPr>
          <w:rFonts w:ascii="Arial" w:cs="Arial" w:eastAsia="Arial" w:hAnsi="Arial"/>
          <w:sz w:val="21"/>
          <w:szCs w:val="21"/>
          <w:color w:val="auto"/>
        </w:rPr>
        <w:t>$ 12.65 $ 46,972,043.25 0.0001381</w:t>
      </w:r>
      <w:r>
        <w:rPr>
          <w:sz w:val="20"/>
          <w:szCs w:val="20"/>
          <w:color w:val="auto"/>
        </w:rPr>
        <w:tab/>
      </w:r>
      <w:r>
        <w:rPr>
          <w:rFonts w:ascii="Arial" w:cs="Arial" w:eastAsia="Arial" w:hAnsi="Arial"/>
          <w:sz w:val="20"/>
          <w:szCs w:val="20"/>
          <w:color w:val="auto"/>
        </w:rPr>
        <w:t>$ 6,486.84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740" w:type="dxa"/>
            <w:vAlign w:val="bottom"/>
            <w:vMerge w:val="restart"/>
          </w:tcPr>
          <w:p>
            <w:pPr>
              <w:jc w:val="right"/>
              <w:spacing w:after="0"/>
              <w:rPr>
                <w:sz w:val="20"/>
                <w:szCs w:val="20"/>
                <w:color w:val="auto"/>
              </w:rPr>
            </w:pPr>
            <w:r>
              <w:rPr>
                <w:rFonts w:ascii="Arial" w:cs="Arial" w:eastAsia="Arial" w:hAnsi="Arial"/>
                <w:sz w:val="21"/>
                <w:szCs w:val="21"/>
                <w:color w:val="auto"/>
                <w:w w:val="94"/>
              </w:rPr>
              <w:t>$ 36.01</w:t>
            </w:r>
          </w:p>
        </w:tc>
        <w:tc>
          <w:tcPr>
            <w:tcW w:w="1540" w:type="dxa"/>
            <w:vAlign w:val="bottom"/>
          </w:tcPr>
          <w:p>
            <w:pPr>
              <w:jc w:val="right"/>
              <w:spacing w:after="0"/>
              <w:rPr>
                <w:sz w:val="20"/>
                <w:szCs w:val="20"/>
                <w:color w:val="auto"/>
              </w:rPr>
            </w:pPr>
            <w:r>
              <w:rPr>
                <w:rFonts w:ascii="Arial" w:cs="Arial" w:eastAsia="Arial" w:hAnsi="Arial"/>
                <w:sz w:val="21"/>
                <w:szCs w:val="21"/>
                <w:color w:val="auto"/>
              </w:rPr>
              <w:t>$</w:t>
            </w:r>
          </w:p>
        </w:tc>
        <w:tc>
          <w:tcPr>
            <w:tcW w:w="1180" w:type="dxa"/>
            <w:vAlign w:val="bottom"/>
            <w:vMerge w:val="restart"/>
          </w:tcPr>
          <w:p>
            <w:pPr>
              <w:jc w:val="right"/>
              <w:ind w:right="76"/>
              <w:spacing w:after="0"/>
              <w:rPr>
                <w:sz w:val="20"/>
                <w:szCs w:val="20"/>
                <w:color w:val="auto"/>
              </w:rPr>
            </w:pPr>
            <w:r>
              <w:rPr>
                <w:rFonts w:ascii="Arial" w:cs="Arial" w:eastAsia="Arial" w:hAnsi="Arial"/>
                <w:sz w:val="21"/>
                <w:szCs w:val="21"/>
                <w:color w:val="auto"/>
                <w:w w:val="98"/>
              </w:rPr>
              <w:t>0.0001381</w:t>
            </w:r>
          </w:p>
        </w:tc>
        <w:tc>
          <w:tcPr>
            <w:tcW w:w="1260" w:type="dxa"/>
            <w:vAlign w:val="bottom"/>
            <w:vMerge w:val="restart"/>
          </w:tcPr>
          <w:p>
            <w:pPr>
              <w:jc w:val="right"/>
              <w:spacing w:after="0"/>
              <w:rPr>
                <w:sz w:val="20"/>
                <w:szCs w:val="20"/>
                <w:color w:val="auto"/>
              </w:rPr>
            </w:pPr>
            <w:r>
              <w:rPr>
                <w:rFonts w:ascii="Arial" w:cs="Arial" w:eastAsia="Arial" w:hAnsi="Arial"/>
                <w:sz w:val="21"/>
                <w:szCs w:val="21"/>
                <w:color w:val="auto"/>
              </w:rPr>
              <w:t>$ 20,053.96</w:t>
            </w:r>
          </w:p>
        </w:tc>
        <w:tc>
          <w:tcPr>
            <w:tcW w:w="0" w:type="dxa"/>
            <w:vAlign w:val="bottom"/>
          </w:tcPr>
          <w:p>
            <w:pPr>
              <w:spacing w:after="0"/>
              <w:rPr>
                <w:sz w:val="1"/>
                <w:szCs w:val="1"/>
                <w:color w:val="auto"/>
              </w:rPr>
            </w:pPr>
          </w:p>
        </w:tc>
      </w:tr>
      <w:tr>
        <w:trPr>
          <w:trHeight w:val="274"/>
        </w:trPr>
        <w:tc>
          <w:tcPr>
            <w:tcW w:w="740" w:type="dxa"/>
            <w:vAlign w:val="bottom"/>
            <w:vMerge w:val="continue"/>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1"/>
                <w:szCs w:val="21"/>
                <w:color w:val="auto"/>
              </w:rPr>
              <w:t>145,213,313.83</w:t>
            </w:r>
          </w:p>
        </w:tc>
        <w:tc>
          <w:tcPr>
            <w:tcW w:w="118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tabs>
          <w:tab w:leader="none" w:pos="1380" w:val="left"/>
          <w:tab w:leader="none" w:pos="4280" w:val="left"/>
        </w:tabs>
        <w:rPr>
          <w:sz w:val="20"/>
          <w:szCs w:val="20"/>
          <w:color w:val="auto"/>
        </w:rPr>
      </w:pPr>
      <w:r>
        <w:rPr>
          <w:rFonts w:ascii="Arial" w:cs="Arial" w:eastAsia="Arial" w:hAnsi="Arial"/>
          <w:sz w:val="21"/>
          <w:szCs w:val="21"/>
          <w:color w:val="auto"/>
        </w:rPr>
        <w:t>$ 30.60</w:t>
        <w:tab/>
        <w:t>$ 9,690,040.80 0.0001381</w:t>
      </w:r>
      <w:r>
        <w:rPr>
          <w:sz w:val="20"/>
          <w:szCs w:val="20"/>
          <w:color w:val="auto"/>
        </w:rPr>
        <w:tab/>
      </w:r>
      <w:r>
        <w:rPr>
          <w:rFonts w:ascii="Arial" w:cs="Arial" w:eastAsia="Arial" w:hAnsi="Arial"/>
          <w:sz w:val="20"/>
          <w:szCs w:val="20"/>
          <w:color w:val="auto"/>
        </w:rPr>
        <w:t>$ 1,338.19</w:t>
      </w:r>
    </w:p>
    <w:p>
      <w:pPr>
        <w:spacing w:after="0" w:line="1317" w:lineRule="exact"/>
        <w:rPr>
          <w:sz w:val="20"/>
          <w:szCs w:val="20"/>
          <w:color w:val="auto"/>
        </w:rPr>
      </w:pPr>
    </w:p>
    <w:p>
      <w:pPr>
        <w:sectPr>
          <w:pgSz w:w="11900" w:h="16838" w:orient="portrait"/>
          <w:cols w:equalWidth="0" w:num="2">
            <w:col w:w="4740" w:space="20"/>
            <w:col w:w="5280"/>
          </w:cols>
          <w:pgMar w:left="920" w:top="141" w:right="939" w:bottom="0" w:gutter="0" w:footer="0" w:header="0"/>
          <w:type w:val="continuous"/>
        </w:sectPr>
      </w:pPr>
    </w:p>
    <w:tbl>
      <w:tblPr>
        <w:tblLayout w:type="fixed"/>
        <w:tblInd w:w="2560" w:type="dxa"/>
        <w:tblCellMar>
          <w:top w:w="0" w:type="dxa"/>
          <w:left w:w="0" w:type="dxa"/>
          <w:bottom w:w="0" w:type="dxa"/>
          <w:right w:w="0" w:type="dxa"/>
        </w:tblCellMar>
      </w:tblPr>
      <w:tr>
        <w:trPr>
          <w:trHeight w:val="241"/>
        </w:trPr>
        <w:tc>
          <w:tcPr>
            <w:tcW w:w="2860" w:type="dxa"/>
            <w:vAlign w:val="bottom"/>
          </w:tcPr>
          <w:p>
            <w:pPr>
              <w:jc w:val="right"/>
              <w:ind w:right="596"/>
              <w:spacing w:after="0"/>
              <w:rPr>
                <w:sz w:val="20"/>
                <w:szCs w:val="20"/>
                <w:color w:val="auto"/>
              </w:rPr>
            </w:pPr>
            <w:r>
              <w:rPr>
                <w:rFonts w:ascii="Arial" w:cs="Arial" w:eastAsia="Arial" w:hAnsi="Arial"/>
                <w:sz w:val="21"/>
                <w:szCs w:val="21"/>
                <w:color w:val="auto"/>
                <w:w w:val="96"/>
              </w:rPr>
              <w:t>Total Offering Amounts:</w:t>
            </w:r>
          </w:p>
        </w:tc>
        <w:tc>
          <w:tcPr>
            <w:tcW w:w="2820" w:type="dxa"/>
            <w:vAlign w:val="bottom"/>
          </w:tcPr>
          <w:p>
            <w:pPr>
              <w:jc w:val="right"/>
              <w:ind w:right="596"/>
              <w:spacing w:after="0"/>
              <w:rPr>
                <w:sz w:val="20"/>
                <w:szCs w:val="20"/>
                <w:color w:val="auto"/>
              </w:rPr>
            </w:pPr>
            <w:r>
              <w:rPr>
                <w:rFonts w:ascii="Arial" w:cs="Arial" w:eastAsia="Arial" w:hAnsi="Arial"/>
                <w:sz w:val="21"/>
                <w:szCs w:val="21"/>
                <w:color w:val="auto"/>
              </w:rPr>
              <w:t>$</w:t>
            </w:r>
          </w:p>
        </w:tc>
        <w:tc>
          <w:tcPr>
            <w:tcW w:w="1780" w:type="dxa"/>
            <w:vAlign w:val="bottom"/>
          </w:tcPr>
          <w:p>
            <w:pPr>
              <w:jc w:val="right"/>
              <w:spacing w:after="0"/>
              <w:rPr>
                <w:sz w:val="20"/>
                <w:szCs w:val="20"/>
                <w:color w:val="auto"/>
              </w:rPr>
            </w:pPr>
            <w:r>
              <w:rPr>
                <w:rFonts w:ascii="Arial" w:cs="Arial" w:eastAsia="Arial" w:hAnsi="Arial"/>
                <w:sz w:val="21"/>
                <w:szCs w:val="21"/>
                <w:color w:val="auto"/>
              </w:rPr>
              <w:t>$ 27,878.99</w:t>
            </w:r>
          </w:p>
        </w:tc>
      </w:tr>
      <w:tr>
        <w:trPr>
          <w:trHeight w:val="274"/>
        </w:trPr>
        <w:tc>
          <w:tcPr>
            <w:tcW w:w="2860" w:type="dxa"/>
            <w:vAlign w:val="bottom"/>
          </w:tcPr>
          <w:p>
            <w:pPr>
              <w:spacing w:after="0"/>
              <w:rPr>
                <w:sz w:val="23"/>
                <w:szCs w:val="23"/>
                <w:color w:val="auto"/>
              </w:rPr>
            </w:pPr>
          </w:p>
        </w:tc>
        <w:tc>
          <w:tcPr>
            <w:tcW w:w="2820" w:type="dxa"/>
            <w:vAlign w:val="bottom"/>
          </w:tcPr>
          <w:p>
            <w:pPr>
              <w:jc w:val="right"/>
              <w:ind w:right="596"/>
              <w:spacing w:after="0"/>
              <w:rPr>
                <w:sz w:val="20"/>
                <w:szCs w:val="20"/>
                <w:color w:val="auto"/>
              </w:rPr>
            </w:pPr>
            <w:r>
              <w:rPr>
                <w:rFonts w:ascii="Arial" w:cs="Arial" w:eastAsia="Arial" w:hAnsi="Arial"/>
                <w:sz w:val="21"/>
                <w:szCs w:val="21"/>
                <w:color w:val="auto"/>
              </w:rPr>
              <w:t>201,875,397.88</w:t>
            </w:r>
          </w:p>
        </w:tc>
        <w:tc>
          <w:tcPr>
            <w:tcW w:w="1780" w:type="dxa"/>
            <w:vAlign w:val="bottom"/>
          </w:tcPr>
          <w:p>
            <w:pPr>
              <w:spacing w:after="0"/>
              <w:rPr>
                <w:sz w:val="23"/>
                <w:szCs w:val="23"/>
                <w:color w:val="auto"/>
              </w:rPr>
            </w:pPr>
          </w:p>
        </w:tc>
      </w:tr>
      <w:tr>
        <w:trPr>
          <w:trHeight w:val="285"/>
        </w:trPr>
        <w:tc>
          <w:tcPr>
            <w:tcW w:w="2860" w:type="dxa"/>
            <w:vAlign w:val="bottom"/>
          </w:tcPr>
          <w:p>
            <w:pPr>
              <w:jc w:val="right"/>
              <w:ind w:right="596"/>
              <w:spacing w:after="0"/>
              <w:rPr>
                <w:sz w:val="20"/>
                <w:szCs w:val="20"/>
                <w:color w:val="auto"/>
              </w:rPr>
            </w:pPr>
            <w:r>
              <w:rPr>
                <w:rFonts w:ascii="Arial" w:cs="Arial" w:eastAsia="Arial" w:hAnsi="Arial"/>
                <w:sz w:val="21"/>
                <w:szCs w:val="21"/>
                <w:color w:val="auto"/>
              </w:rPr>
              <w:t>Total Fee Offsets:</w:t>
            </w:r>
          </w:p>
        </w:tc>
        <w:tc>
          <w:tcPr>
            <w:tcW w:w="28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85"/>
        </w:trPr>
        <w:tc>
          <w:tcPr>
            <w:tcW w:w="2860" w:type="dxa"/>
            <w:vAlign w:val="bottom"/>
          </w:tcPr>
          <w:p>
            <w:pPr>
              <w:jc w:val="right"/>
              <w:ind w:right="596"/>
              <w:spacing w:after="0"/>
              <w:rPr>
                <w:sz w:val="20"/>
                <w:szCs w:val="20"/>
                <w:color w:val="auto"/>
              </w:rPr>
            </w:pPr>
            <w:r>
              <w:rPr>
                <w:rFonts w:ascii="Arial" w:cs="Arial" w:eastAsia="Arial" w:hAnsi="Arial"/>
                <w:sz w:val="21"/>
                <w:szCs w:val="21"/>
                <w:color w:val="auto"/>
              </w:rPr>
              <w:t>Net Fee Due:</w:t>
            </w:r>
          </w:p>
        </w:tc>
        <w:tc>
          <w:tcPr>
            <w:tcW w:w="28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1"/>
                <w:szCs w:val="21"/>
                <w:color w:val="auto"/>
              </w:rPr>
              <w:t>$ 27,878.99</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220" w:right="160"/>
        <w:spacing w:after="0" w:line="265" w:lineRule="auto"/>
        <w:rPr>
          <w:sz w:val="20"/>
          <w:szCs w:val="20"/>
          <w:color w:val="auto"/>
        </w:rPr>
      </w:pPr>
      <w:r>
        <w:rPr>
          <w:rFonts w:ascii="Arial" w:cs="Arial" w:eastAsia="Arial" w:hAnsi="Arial"/>
          <w:sz w:val="20"/>
          <w:szCs w:val="20"/>
          <w:color w:val="auto"/>
        </w:rPr>
        <w:t>(1a) Pursuant to Rule 416 under the Securities Act of 1933, as amended (the "Act") this Registration Statement also covers such additional shares of common stock, par value $0.00001 per share ("Common Stock") as may issued to prevent dilution from stock splits, stock dividends and similar transactions.</w:t>
      </w:r>
    </w:p>
    <w:p>
      <w:pPr>
        <w:spacing w:after="0" w:line="171" w:lineRule="exact"/>
        <w:rPr>
          <w:sz w:val="20"/>
          <w:szCs w:val="20"/>
          <w:color w:val="auto"/>
        </w:rPr>
      </w:pPr>
    </w:p>
    <w:p>
      <w:pPr>
        <w:ind w:left="220"/>
        <w:spacing w:after="0" w:line="236" w:lineRule="auto"/>
        <w:rPr>
          <w:sz w:val="20"/>
          <w:szCs w:val="20"/>
          <w:color w:val="auto"/>
        </w:rPr>
      </w:pPr>
      <w:r>
        <w:rPr>
          <w:rFonts w:ascii="Arial" w:cs="Arial" w:eastAsia="Arial" w:hAnsi="Arial"/>
          <w:sz w:val="21"/>
          <w:szCs w:val="21"/>
          <w:color w:val="auto"/>
        </w:rPr>
        <w:t>(1b) Represents shares of Common Stock issuable upon exercise or settlement of awards previously granted under the VeraDermics, Incorporated 2021 Stock Plan, as amended (the "2021 Plan") that are outstanding as of the date of this Registration Statement. To the extent that shares of Common Stock issuable upon the exercise or settlement of such awards are forfeited, expire, terminate or are cancelled for any reason without having been exercised or become vested in full, or otherwise become available again for grant under the 2021 Plan, in each case, in accordance with the terms of the 2021 Plan and on or after the date of this Registration Statement, such shares of Common Stock (not to exceed 685,080 shares of Stock in the aggregate) will be available for issuance under the Veradermics, Incorporated 2026 Incentive Plan (the "2026 Plan").</w:t>
      </w:r>
    </w:p>
    <w:p>
      <w:pPr>
        <w:spacing w:after="0" w:line="194" w:lineRule="exact"/>
        <w:rPr>
          <w:sz w:val="20"/>
          <w:szCs w:val="20"/>
          <w:color w:val="auto"/>
        </w:rPr>
      </w:pPr>
    </w:p>
    <w:p>
      <w:pPr>
        <w:ind w:left="220" w:right="240"/>
        <w:spacing w:after="0" w:line="288" w:lineRule="auto"/>
        <w:rPr>
          <w:sz w:val="20"/>
          <w:szCs w:val="20"/>
          <w:color w:val="auto"/>
        </w:rPr>
      </w:pPr>
      <w:r>
        <w:rPr>
          <w:rFonts w:ascii="Arial" w:cs="Arial" w:eastAsia="Arial" w:hAnsi="Arial"/>
          <w:sz w:val="20"/>
          <w:szCs w:val="20"/>
          <w:color w:val="auto"/>
        </w:rPr>
        <w:t>(1c) Estimated solely for the purpose of calculating the registration fee pursuant to Rule 457(h) under the Act. For the shares of Common Stock reserved for issuance upon the exercise of outstanding awards</w:t>
      </w:r>
    </w:p>
    <w:p>
      <w:pPr>
        <w:sectPr>
          <w:pgSz w:w="11900" w:h="16838" w:orient="portrait"/>
          <w:cols w:equalWidth="0" w:num="1">
            <w:col w:w="10040"/>
          </w:cols>
          <w:pgMar w:left="920" w:top="141" w:right="939" w:bottom="0" w:gutter="0" w:footer="0" w:header="0"/>
          <w:type w:val="continuous"/>
        </w:sectPr>
      </w:pPr>
    </w:p>
    <w:bookmarkStart w:id="7" w:name="page8"/>
    <w:bookmarkEnd w:id="7"/>
    <w:p>
      <w:pPr>
        <w:jc w:val="both"/>
        <w:ind w:left="820" w:right="940"/>
        <w:spacing w:after="0" w:line="247" w:lineRule="auto"/>
        <w:rPr>
          <w:sz w:val="20"/>
          <w:szCs w:val="20"/>
          <w:color w:val="auto"/>
        </w:rPr>
      </w:pPr>
      <w:r>
        <w:rPr>
          <w:rFonts w:ascii="Arial" w:cs="Arial" w:eastAsia="Arial" w:hAnsi="Arial"/>
          <w:sz w:val="21"/>
          <w:szCs w:val="21"/>
          <w:color w:val="auto"/>
        </w:rPr>
        <w:t>under the 2021 Plan, the Proposed Maximum Offering Price Per Share is $12.65 per share, which is the weighted average exercise price (rounded to the nearest cent) of the outstanding awards under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73025</wp:posOffset>
            </wp:positionV>
            <wp:extent cx="63900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390005" cy="41910"/>
                    </a:xfrm>
                    <a:prstGeom prst="rect">
                      <a:avLst/>
                    </a:prstGeom>
                    <a:noFill/>
                  </pic:spPr>
                </pic:pic>
              </a:graphicData>
            </a:graphic>
          </wp:anchor>
        </w:drawing>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(See note (1a)</w:t>
      </w:r>
    </w:p>
    <w:p>
      <w:pPr>
        <w:spacing w:after="0" w:line="225" w:lineRule="exact"/>
        <w:rPr>
          <w:sz w:val="20"/>
          <w:szCs w:val="20"/>
          <w:color w:val="auto"/>
        </w:rPr>
      </w:pPr>
    </w:p>
    <w:p>
      <w:pPr>
        <w:ind w:left="820" w:right="740"/>
        <w:spacing w:after="0" w:line="248" w:lineRule="auto"/>
        <w:rPr>
          <w:sz w:val="20"/>
          <w:szCs w:val="20"/>
          <w:color w:val="auto"/>
        </w:rPr>
      </w:pPr>
      <w:r>
        <w:rPr>
          <w:rFonts w:ascii="Arial" w:cs="Arial" w:eastAsia="Arial" w:hAnsi="Arial"/>
          <w:sz w:val="20"/>
          <w:szCs w:val="20"/>
          <w:color w:val="auto"/>
        </w:rPr>
        <w:t>(2a) Represents shares of Common Stock reserved for issuance upon exercise of options or in respect of other awards under the 2026 Plan (inclusive of shares subject to awards granted under the 2026 Plan prior to the date hereof and shares of Common Stock that may again become issuable with respect to awards under the 2026 Plan pursuant to the share counting, share recycling and other terms and conditions of the 2026 Plan). The 2026 Plan includes an "evergreen" provision, which provides that on January 1st of each year beginning in 2027 and continuing through and including 2036, the number of shares of Common Stock available for issuance under the 2026 Plan will automatically increase in an amount equal to the lesser of (A) five percent of the number of shares of Common Stock outstanding as of the close of business on the immediately preceding December 31st and (B) the number of shares of Common Stock determined by the board of directors of the Registrant on or prior to such date for such year.</w:t>
      </w:r>
    </w:p>
    <w:p>
      <w:pPr>
        <w:spacing w:after="0" w:line="188" w:lineRule="exact"/>
        <w:rPr>
          <w:sz w:val="20"/>
          <w:szCs w:val="20"/>
          <w:color w:val="auto"/>
        </w:rPr>
      </w:pPr>
    </w:p>
    <w:p>
      <w:pPr>
        <w:ind w:left="820" w:right="780"/>
        <w:spacing w:after="0" w:line="242" w:lineRule="auto"/>
        <w:rPr>
          <w:sz w:val="20"/>
          <w:szCs w:val="20"/>
          <w:color w:val="auto"/>
        </w:rPr>
      </w:pPr>
      <w:r>
        <w:rPr>
          <w:rFonts w:ascii="Arial" w:cs="Arial" w:eastAsia="Arial" w:hAnsi="Arial"/>
          <w:sz w:val="21"/>
          <w:szCs w:val="21"/>
          <w:color w:val="auto"/>
        </w:rPr>
        <w:t>(2b) Estimated solely for the purpose of calculating the registration fee in accordance with Rule 457(c) and Rule 457(h) under the Act based on the average of the high and low prices of the registrant's Common Stock as reported on the New York Stock Exchange on February 4, 2026 to be $40.01 and $32.00,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76200</wp:posOffset>
            </wp:positionV>
            <wp:extent cx="63900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390005" cy="41910"/>
                    </a:xfrm>
                    <a:prstGeom prst="rect">
                      <a:avLst/>
                    </a:prstGeom>
                    <a:noFill/>
                  </pic:spPr>
                </pic:pic>
              </a:graphicData>
            </a:graphic>
          </wp:anchor>
        </w:drawing>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3</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See note (1a)</w:t>
      </w:r>
    </w:p>
    <w:p>
      <w:pPr>
        <w:spacing w:after="0" w:line="225" w:lineRule="exact"/>
        <w:rPr>
          <w:sz w:val="20"/>
          <w:szCs w:val="20"/>
          <w:color w:val="auto"/>
        </w:rPr>
      </w:pPr>
    </w:p>
    <w:p>
      <w:pPr>
        <w:ind w:left="820" w:right="840"/>
        <w:spacing w:after="0" w:line="238" w:lineRule="auto"/>
        <w:rPr>
          <w:sz w:val="20"/>
          <w:szCs w:val="20"/>
          <w:color w:val="auto"/>
        </w:rPr>
      </w:pPr>
      <w:r>
        <w:rPr>
          <w:rFonts w:ascii="Arial" w:cs="Arial" w:eastAsia="Arial" w:hAnsi="Arial"/>
          <w:sz w:val="21"/>
          <w:szCs w:val="21"/>
          <w:color w:val="auto"/>
        </w:rPr>
        <w:t>(3a) Estimated solely for the purpose of calculating the registration fee pursuant to Rule 457(c) and Rule 457(h) under the Act. The proposed maximum offering price per share is equal to 85% of of $36.01, being the average of the high and low prices of the Registrant's Common Stock as reported on the New York Stock Exchange on February 4, 2026 to be $40.01 and $32.00, respectively. Under the 2026 ESPP, the purchase price of a share of common stock is equal to 85% of the fair market value of the Registrant's common stock on the offering date or the purchase date, whichever is less.</w:t>
      </w:r>
    </w:p>
    <w:p>
      <w:pPr>
        <w:spacing w:after="0" w:line="195" w:lineRule="exact"/>
        <w:rPr>
          <w:sz w:val="20"/>
          <w:szCs w:val="20"/>
          <w:color w:val="auto"/>
        </w:rPr>
      </w:pPr>
    </w:p>
    <w:p>
      <w:pPr>
        <w:ind w:left="820" w:right="740"/>
        <w:spacing w:after="0" w:line="235" w:lineRule="auto"/>
        <w:rPr>
          <w:sz w:val="20"/>
          <w:szCs w:val="20"/>
          <w:color w:val="auto"/>
        </w:rPr>
      </w:pPr>
      <w:r>
        <w:rPr>
          <w:rFonts w:ascii="Arial" w:cs="Arial" w:eastAsia="Arial" w:hAnsi="Arial"/>
          <w:sz w:val="21"/>
          <w:szCs w:val="21"/>
          <w:color w:val="auto"/>
        </w:rPr>
        <w:t>(3b) Represents shares of Common Stock reserved for issuance under the Veradermics, Incorporated 2026 Employee Stock Purchase Plan, (the "ESPP"), along with shares of Common Stock that may again become issuable with respect to awards under the ESPP pursuant to the share counting, share recycling and other terms and conditions of the ESPP. The ESPP includes an "evergreen" provision, which provides that on January 1st of each year beginning in 2027 and continuing through and including 2036, the number of shares of Common Stock available for issuance under the ESPP will automatically increase in an amount equal to the lesser of (A) one percent of the number of shares of Common Stock outstanding as of the close of business on the immediately preceding December 31st and (B) the number of shares of Common Stock determined by the board of directors of the Registrant on or prior to such date for such year, up to a maximum of 4,490,608 shares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377190</wp:posOffset>
            </wp:positionV>
            <wp:extent cx="63900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39000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2"/>
                <w:szCs w:val="12"/>
                <w:color w:val="auto"/>
              </w:rPr>
            </w:pPr>
          </w:p>
        </w:tc>
        <w:tc>
          <w:tcPr>
            <w:tcW w:w="58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shd w:val="clear" w:color="auto" w:fill="9ADAF6"/>
          </w:tcPr>
          <w:p>
            <w:pPr>
              <w:ind w:left="120"/>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14" w:right="239" w:bottom="771"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VERADERMICS,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2026 EQUITY INCENTIVE PLAN</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1.</w:t>
      </w:r>
      <w:r>
        <w:rPr>
          <w:sz w:val="20"/>
          <w:szCs w:val="20"/>
          <w:color w:val="auto"/>
        </w:rPr>
        <w:tab/>
      </w:r>
      <w:r>
        <w:rPr>
          <w:rFonts w:ascii="Times New Roman" w:cs="Times New Roman" w:eastAsia="Times New Roman" w:hAnsi="Times New Roman"/>
          <w:sz w:val="20"/>
          <w:szCs w:val="20"/>
          <w:b w:val="1"/>
          <w:bCs w:val="1"/>
          <w:color w:val="auto"/>
        </w:rPr>
        <w:t>DEFINED TERMS</w:t>
      </w:r>
    </w:p>
    <w:p>
      <w:pPr>
        <w:spacing w:after="0" w:line="227"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which is incorporated by reference, defines certain terms used in the Plan and includes certain operational rules related to those terms.</w:t>
      </w:r>
    </w:p>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2.</w:t>
      </w:r>
      <w:r>
        <w:rPr>
          <w:sz w:val="20"/>
          <w:szCs w:val="20"/>
          <w:color w:val="auto"/>
        </w:rPr>
        <w:tab/>
      </w:r>
      <w:r>
        <w:rPr>
          <w:rFonts w:ascii="Times New Roman" w:cs="Times New Roman" w:eastAsia="Times New Roman" w:hAnsi="Times New Roman"/>
          <w:sz w:val="20"/>
          <w:szCs w:val="20"/>
          <w:b w:val="1"/>
          <w:bCs w:val="1"/>
          <w:color w:val="auto"/>
        </w:rPr>
        <w:t>PURPOSE</w:t>
      </w:r>
    </w:p>
    <w:p>
      <w:pPr>
        <w:spacing w:after="0" w:line="214"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The Plan has been established to advance the interests of the Company by providing for the grant to Participants of Stock and Stock-based Awards.</w:t>
      </w:r>
    </w:p>
    <w:p>
      <w:pPr>
        <w:spacing w:after="0" w:line="1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3.</w:t>
      </w:r>
      <w:r>
        <w:rPr>
          <w:sz w:val="20"/>
          <w:szCs w:val="20"/>
          <w:color w:val="auto"/>
        </w:rPr>
        <w:tab/>
      </w:r>
      <w:r>
        <w:rPr>
          <w:rFonts w:ascii="Times New Roman" w:cs="Times New Roman" w:eastAsia="Times New Roman" w:hAnsi="Times New Roman"/>
          <w:sz w:val="20"/>
          <w:szCs w:val="20"/>
          <w:b w:val="1"/>
          <w:bCs w:val="1"/>
          <w:color w:val="auto"/>
        </w:rPr>
        <w:t>ADMINISTRATION</w:t>
      </w:r>
    </w:p>
    <w:p>
      <w:pPr>
        <w:spacing w:after="0" w:line="214"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The Plan will be administered by the Administrator. The Administrator has discretionary authority, subject only to the express provisions of the Plan, to administer and interpret the Plan and any Awards; to determine eligibility for and grant Awards; to determine the exercise price, base value from which appreciation is measured, or purchase price, if any, applicable to any Award, to determine, modify, accelerate or waive the terms and conditions of any Award; to determine the form of settlement of Awards (whether in cash, shares of Stock, other Awards or other property);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w:t>
      </w:r>
    </w:p>
    <w:p>
      <w:pPr>
        <w:spacing w:after="0" w:line="173" w:lineRule="exact"/>
        <w:rPr>
          <w:sz w:val="20"/>
          <w:szCs w:val="20"/>
          <w:color w:val="auto"/>
        </w:rPr>
      </w:pPr>
    </w:p>
    <w:p>
      <w:pPr>
        <w:ind w:left="360" w:hanging="356"/>
        <w:spacing w:after="0"/>
        <w:tabs>
          <w:tab w:leader="none" w:pos="360"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LIMITS ON AWARDS UNDER THE PLAN</w:t>
      </w:r>
    </w:p>
    <w:p>
      <w:pPr>
        <w:spacing w:after="0" w:line="211" w:lineRule="exact"/>
        <w:rPr>
          <w:rFonts w:ascii="Times New Roman" w:cs="Times New Roman" w:eastAsia="Times New Roman" w:hAnsi="Times New Roman"/>
          <w:sz w:val="21"/>
          <w:szCs w:val="21"/>
          <w:b w:val="1"/>
          <w:bCs w:val="1"/>
          <w:color w:val="auto"/>
        </w:rPr>
      </w:pPr>
    </w:p>
    <w:p>
      <w:pPr>
        <w:jc w:val="both"/>
        <w:ind w:firstLine="625"/>
        <w:spacing w:after="0" w:line="262" w:lineRule="auto"/>
        <w:tabs>
          <w:tab w:leader="none" w:pos="1109" w:val="left"/>
        </w:tabs>
        <w:numPr>
          <w:ilvl w:val="1"/>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Number of Shares</w:t>
      </w:r>
      <w:r>
        <w:rPr>
          <w:rFonts w:ascii="Times New Roman" w:cs="Times New Roman" w:eastAsia="Times New Roman" w:hAnsi="Times New Roman"/>
          <w:sz w:val="20"/>
          <w:szCs w:val="20"/>
          <w:color w:val="auto"/>
        </w:rPr>
        <w:t>. Subject to adjustment as provided for herein, the maximum number of shares of Stock that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in satisfaction of Awards under the Plan is (i) 4,032,751 shares (the “</w:t>
      </w:r>
      <w:r>
        <w:rPr>
          <w:rFonts w:ascii="Times New Roman" w:cs="Times New Roman" w:eastAsia="Times New Roman" w:hAnsi="Times New Roman"/>
          <w:sz w:val="20"/>
          <w:szCs w:val="20"/>
          <w:u w:val="single" w:color="auto"/>
          <w:color w:val="auto"/>
        </w:rPr>
        <w:t>Initial Share Pool</w:t>
      </w:r>
      <w:r>
        <w:rPr>
          <w:rFonts w:ascii="Times New Roman" w:cs="Times New Roman" w:eastAsia="Times New Roman" w:hAnsi="Times New Roman"/>
          <w:sz w:val="20"/>
          <w:szCs w:val="20"/>
          <w:color w:val="auto"/>
        </w:rPr>
        <w:t>”), plus (ii) the number of shares of Stock underlying awards under the Prior Plan that on or after the Date of Adoption are reacquired by the Company or are forfeited, expire, terminate or are cancelled for any reason without having been exercised or become vested in full, or otherwise become available again for grant under the Prior Plan, in each case, in accordance with its terms (in the case of this subclause (ii), not to exceed 685,080 shares of Stock in the aggregate). The Initial Share Pool will automatically increase on January 1 of each year during the term of the Plan, beginning in 2027 and continuing through and including 2036, by the lesser of (i) five percent (5%) of the number of shares of Stock outstanding as of the close of business on the immediately preceding December 31 and (ii) the number of shares of Stock determined by the Board on or prior to such date for such year (the Initial Share Pool, as it may be so increased, together with any shares that become available for grant under the Prior Plan, as provided for in subclause (ii) above, the “</w:t>
      </w:r>
      <w:r>
        <w:rPr>
          <w:rFonts w:ascii="Times New Roman" w:cs="Times New Roman" w:eastAsia="Times New Roman" w:hAnsi="Times New Roman"/>
          <w:sz w:val="20"/>
          <w:szCs w:val="20"/>
          <w:u w:val="single" w:color="auto"/>
          <w:color w:val="auto"/>
        </w:rPr>
        <w:t>Share Pool</w:t>
      </w:r>
      <w:r>
        <w:rPr>
          <w:rFonts w:ascii="Times New Roman" w:cs="Times New Roman" w:eastAsia="Times New Roman" w:hAnsi="Times New Roman"/>
          <w:sz w:val="20"/>
          <w:szCs w:val="20"/>
          <w:color w:val="auto"/>
        </w:rPr>
        <w:t xml:space="preserve">”). Up to 24,289,722 shares of Stock from the Share Pool may be delivered in satisfaction of ISOs, but nothing in this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will be construed as requiring that any, or any fixed number of, ISOs be awarded under the Plan. For purposes of this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shares of Stock shall not be treated as delivered under the Plan, and will not reduce the Share Pool, unless and until, and to the extent,</w:t>
      </w:r>
    </w:p>
    <w:p>
      <w:pPr>
        <w:sectPr>
          <w:pgSz w:w="11900" w:h="16838" w:orient="portrait"/>
          <w:cols w:equalWidth="0" w:num="1">
            <w:col w:w="11240"/>
          </w:cols>
          <w:pgMar w:left="320" w:top="119"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they are actually delivered to a Participant. Without limiting the generality of the foregoing, the number of shares of Stock delivered in satisfaction of Awards will be determined (i) by excluding shares of Stock withheld by the Company in payment of the exercise price or purchase price of the Award or in satisfaction of tax withholding requirements with respect to the Award; (ii) by including only the number of shares of Stock delivered in settlement of a SAR any portion of which is settled in Stock; and (iii) by excluding any shares of Stock underlying Awards settled in cash or that expire, become unexercisable, terminate or are forfeited to or repurchased by the Company, in any case, without the delivery of Stock (or retention, in the case of Restricted Stock or Unrestricted Stock). For the avoidance of doubt, the Share Pool will not be increased by any shares of Stock delivered under the Plan that are subsequently repurchased using proceeds directly attributable to Stock Option exercises. The limits set forth in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will be construed to comply with the applicable requirements of Section 422.</w:t>
      </w:r>
    </w:p>
    <w:p>
      <w:pPr>
        <w:spacing w:after="0" w:line="173" w:lineRule="exact"/>
        <w:rPr>
          <w:sz w:val="20"/>
          <w:szCs w:val="20"/>
          <w:color w:val="auto"/>
        </w:rPr>
      </w:pPr>
    </w:p>
    <w:p>
      <w:pPr>
        <w:jc w:val="both"/>
        <w:ind w:firstLine="625"/>
        <w:spacing w:after="0" w:line="250" w:lineRule="auto"/>
        <w:tabs>
          <w:tab w:leader="none" w:pos="1160"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Substitute Awards</w:t>
      </w:r>
      <w:r>
        <w:rPr>
          <w:rFonts w:ascii="Times New Roman" w:cs="Times New Roman" w:eastAsia="Times New Roman" w:hAnsi="Times New Roman"/>
          <w:sz w:val="21"/>
          <w:szCs w:val="21"/>
          <w:color w:val="auto"/>
        </w:rPr>
        <w:t>. The Administrator may grant Substitute Awards under the Plan. To the extent consistent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applicable requirements of Section 422 and the regulations thereunder and other applicable legal requirements (including applicable stock exchange requirements), shares of Stock delivered in respect of Substitute Awards will be in addition to and will not reduce the Share Pool. Notwithstanding the foregoing or anything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to the contrary, if any Substitute Award is settled in cash or expires, becomes unexercisable, terminates or is forfeited to or repurchased by the Company without the delivery (or retention, in the case of Restricted Stock or Unrestricted Stock) of Stock, the shares of Stock previously subject to such Substitute Award will not increase the Share Pool or otherwise be available for future grant under the Plan. The Administrator will determine the extent to which the terms and conditions of the Plan apply to Substitute Awards, if at all;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Substitute Awards will not be subject to the limits described in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below.</w:t>
      </w:r>
    </w:p>
    <w:p>
      <w:pPr>
        <w:spacing w:after="0" w:line="170" w:lineRule="exact"/>
        <w:rPr>
          <w:rFonts w:ascii="Times New Roman" w:cs="Times New Roman" w:eastAsia="Times New Roman" w:hAnsi="Times New Roman"/>
          <w:sz w:val="21"/>
          <w:szCs w:val="21"/>
          <w:b w:val="1"/>
          <w:bCs w:val="1"/>
          <w:color w:val="auto"/>
        </w:rPr>
      </w:pPr>
    </w:p>
    <w:p>
      <w:pPr>
        <w:jc w:val="both"/>
        <w:ind w:firstLine="625"/>
        <w:spacing w:after="0" w:line="266" w:lineRule="auto"/>
        <w:tabs>
          <w:tab w:leader="none" w:pos="1072"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Type of Shares</w:t>
      </w:r>
      <w:r>
        <w:rPr>
          <w:rFonts w:ascii="Times New Roman" w:cs="Times New Roman" w:eastAsia="Times New Roman" w:hAnsi="Times New Roman"/>
          <w:sz w:val="21"/>
          <w:szCs w:val="21"/>
          <w:color w:val="auto"/>
        </w:rPr>
        <w:t>. Stock delivered by the Company under the Plan may be authorized but unissued Stock, treasury Stock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previously issued Stock acquired by the Company. No fractional shares of Stock will be delivered under the Plan, unless otherwise determined by the Administrator.</w:t>
      </w:r>
    </w:p>
    <w:p>
      <w:pPr>
        <w:spacing w:after="0" w:line="155" w:lineRule="exact"/>
        <w:rPr>
          <w:rFonts w:ascii="Times New Roman" w:cs="Times New Roman" w:eastAsia="Times New Roman" w:hAnsi="Times New Roman"/>
          <w:sz w:val="21"/>
          <w:szCs w:val="21"/>
          <w:b w:val="1"/>
          <w:bCs w:val="1"/>
          <w:color w:val="auto"/>
        </w:rPr>
      </w:pPr>
    </w:p>
    <w:p>
      <w:pPr>
        <w:jc w:val="both"/>
        <w:ind w:firstLine="625"/>
        <w:spacing w:after="0" w:line="251" w:lineRule="auto"/>
        <w:tabs>
          <w:tab w:leader="none" w:pos="1095"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Non-Employee Director Limits</w:t>
      </w:r>
      <w:r>
        <w:rPr>
          <w:rFonts w:ascii="Times New Roman" w:cs="Times New Roman" w:eastAsia="Times New Roman" w:hAnsi="Times New Roman"/>
          <w:sz w:val="21"/>
          <w:szCs w:val="21"/>
          <w:color w:val="auto"/>
        </w:rPr>
        <w:t>. The aggregate value of all compensation granted or paid to any Director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calendar year, including Awards granted under the Plan and cash fees or other compensation paid by the Company to such Director outside of the Plan for his or her services as a Director during such calendar year, may not exceed $750,000 in the aggregate ($1,000,000 in the aggregate with respect to a Director’s first year of service on the Board), calculating the value of any Awards based on the grant date fair value in accordance with the Accounting Rules, assuming a maximum payout. For the avoidance of doubt, the limitation in this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will not apply to any compensation granted or paid to a Director for services to the Company or a subsidiary other than as a Director, including, without limitation, as a consultant or advisor to the Company or a subsidiary.</w:t>
      </w:r>
    </w:p>
    <w:p>
      <w:pPr>
        <w:spacing w:after="0" w:line="174" w:lineRule="exact"/>
        <w:rPr>
          <w:rFonts w:ascii="Times New Roman" w:cs="Times New Roman" w:eastAsia="Times New Roman" w:hAnsi="Times New Roman"/>
          <w:sz w:val="21"/>
          <w:szCs w:val="21"/>
          <w:b w:val="1"/>
          <w:bCs w:val="1"/>
          <w:color w:val="auto"/>
        </w:rPr>
      </w:pPr>
    </w:p>
    <w:p>
      <w:pPr>
        <w:ind w:left="360" w:hanging="356"/>
        <w:spacing w:after="0"/>
        <w:tabs>
          <w:tab w:leader="none" w:pos="360"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ELIGIBILITY AND PARTICIPATION</w:t>
      </w:r>
    </w:p>
    <w:p>
      <w:pPr>
        <w:spacing w:after="0" w:line="214" w:lineRule="exact"/>
        <w:rPr>
          <w:sz w:val="20"/>
          <w:szCs w:val="20"/>
          <w:color w:val="auto"/>
        </w:rPr>
      </w:pPr>
    </w:p>
    <w:p>
      <w:pPr>
        <w:ind w:firstLine="622"/>
        <w:spacing w:after="0" w:line="286" w:lineRule="auto"/>
        <w:rPr>
          <w:sz w:val="20"/>
          <w:szCs w:val="20"/>
          <w:color w:val="auto"/>
        </w:rPr>
      </w:pPr>
      <w:r>
        <w:rPr>
          <w:rFonts w:ascii="Times New Roman" w:cs="Times New Roman" w:eastAsia="Times New Roman" w:hAnsi="Times New Roman"/>
          <w:sz w:val="21"/>
          <w:szCs w:val="21"/>
          <w:color w:val="auto"/>
        </w:rPr>
        <w:t>The Administrator will select Participants from among Employees and Directors of, and consultants and advisors to, the Company and its subsidiaries. Eligibility for ISOs is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8"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individuals described in the first sentence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who are employees of the Company or of a “parent corporation” or “subsidiary corporation” of the Company as those terms are defined in Section 424 of the Code. Eligibility for Stock Options, other than ISOs, and SARs is limited to individuals described in the first sentence of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who are providing direct services on the date of grant of the Award to the Company or to a subsidiary of the Company that would be described in the first sentence of Section 1.409A-1(b)(5)(iii)(E) of the Treasury Regulations.</w:t>
      </w:r>
    </w:p>
    <w:p>
      <w:pPr>
        <w:spacing w:after="0" w:line="166" w:lineRule="exact"/>
        <w:rPr>
          <w:sz w:val="20"/>
          <w:szCs w:val="20"/>
          <w:color w:val="auto"/>
        </w:rPr>
      </w:pPr>
    </w:p>
    <w:p>
      <w:pPr>
        <w:ind w:left="360" w:hanging="356"/>
        <w:spacing w:after="0"/>
        <w:tabs>
          <w:tab w:leader="none" w:pos="36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RULES APPLICABLE TO AWARDS</w:t>
      </w:r>
    </w:p>
    <w:p>
      <w:pPr>
        <w:spacing w:after="0" w:line="211" w:lineRule="exact"/>
        <w:rPr>
          <w:rFonts w:ascii="Times New Roman" w:cs="Times New Roman" w:eastAsia="Times New Roman" w:hAnsi="Times New Roman"/>
          <w:sz w:val="21"/>
          <w:szCs w:val="21"/>
          <w:b w:val="1"/>
          <w:bCs w:val="1"/>
          <w:color w:val="auto"/>
        </w:rPr>
      </w:pPr>
    </w:p>
    <w:p>
      <w:pPr>
        <w:ind w:left="1080" w:hanging="455"/>
        <w:spacing w:after="0"/>
        <w:tabs>
          <w:tab w:leader="none" w:pos="1080" w:val="left"/>
        </w:tabs>
        <w:numPr>
          <w:ilvl w:val="1"/>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All Awards</w:t>
      </w:r>
      <w:r>
        <w:rPr>
          <w:rFonts w:ascii="Times New Roman" w:cs="Times New Roman" w:eastAsia="Times New Roman" w:hAnsi="Times New Roman"/>
          <w:sz w:val="21"/>
          <w:szCs w:val="21"/>
          <w:b w:val="1"/>
          <w:bCs w:val="1"/>
          <w:color w:val="auto"/>
        </w:rPr>
        <w:t>.</w:t>
      </w:r>
    </w:p>
    <w:p>
      <w:pPr>
        <w:spacing w:after="0" w:line="211" w:lineRule="exact"/>
        <w:rPr>
          <w:rFonts w:ascii="Times New Roman" w:cs="Times New Roman" w:eastAsia="Times New Roman" w:hAnsi="Times New Roman"/>
          <w:sz w:val="21"/>
          <w:szCs w:val="21"/>
          <w:b w:val="1"/>
          <w:bCs w:val="1"/>
          <w:color w:val="auto"/>
        </w:rPr>
      </w:pPr>
    </w:p>
    <w:p>
      <w:pPr>
        <w:jc w:val="both"/>
        <w:ind w:firstLine="1247"/>
        <w:spacing w:after="0" w:line="253" w:lineRule="auto"/>
        <w:tabs>
          <w:tab w:leader="none" w:pos="1815" w:val="left"/>
        </w:tabs>
        <w:numPr>
          <w:ilvl w:val="2"/>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Award Provisions</w:t>
      </w:r>
      <w:r>
        <w:rPr>
          <w:rFonts w:ascii="Times New Roman" w:cs="Times New Roman" w:eastAsia="Times New Roman" w:hAnsi="Times New Roman"/>
          <w:sz w:val="21"/>
          <w:szCs w:val="21"/>
          <w:color w:val="auto"/>
        </w:rPr>
        <w:t>. The Administrator will determine the terms and conditions of all Awards,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limitations provided herein. No term of an Award shall provide for automatic “reload” grants of additional Awards upon the exercise of an Option or SAR. By accepting (or, under such rules as the Administrator may prescribe, being deemed to have accepted) an Award, the Participant will be deemed to 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spacing w:after="0" w:line="169" w:lineRule="exact"/>
        <w:rPr>
          <w:rFonts w:ascii="Times New Roman" w:cs="Times New Roman" w:eastAsia="Times New Roman" w:hAnsi="Times New Roman"/>
          <w:sz w:val="21"/>
          <w:szCs w:val="21"/>
          <w:b w:val="1"/>
          <w:bCs w:val="1"/>
          <w:color w:val="auto"/>
        </w:rPr>
      </w:pPr>
    </w:p>
    <w:p>
      <w:pPr>
        <w:ind w:firstLine="1247"/>
        <w:spacing w:after="0" w:line="288" w:lineRule="auto"/>
        <w:tabs>
          <w:tab w:leader="none" w:pos="1749" w:val="left"/>
        </w:tabs>
        <w:numPr>
          <w:ilvl w:val="2"/>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 of Plan</w:t>
      </w:r>
      <w:r>
        <w:rPr>
          <w:rFonts w:ascii="Times New Roman" w:cs="Times New Roman" w:eastAsia="Times New Roman" w:hAnsi="Times New Roman"/>
          <w:sz w:val="21"/>
          <w:szCs w:val="21"/>
          <w:color w:val="auto"/>
        </w:rPr>
        <w:t>. No Awards may be made after ten (10) years from the Date of Adoption, but previously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Awards may continue beyond that date in accordance with their terms.</w:t>
      </w:r>
    </w:p>
    <w:p>
      <w:pPr>
        <w:spacing w:after="0" w:line="132" w:lineRule="exact"/>
        <w:rPr>
          <w:rFonts w:ascii="Times New Roman" w:cs="Times New Roman" w:eastAsia="Times New Roman" w:hAnsi="Times New Roman"/>
          <w:sz w:val="21"/>
          <w:szCs w:val="21"/>
          <w:b w:val="1"/>
          <w:bCs w:val="1"/>
          <w:color w:val="auto"/>
        </w:rPr>
      </w:pPr>
    </w:p>
    <w:p>
      <w:pPr>
        <w:jc w:val="both"/>
        <w:ind w:firstLine="1247"/>
        <w:spacing w:after="0" w:line="253" w:lineRule="auto"/>
        <w:tabs>
          <w:tab w:leader="none" w:pos="1740" w:val="left"/>
        </w:tabs>
        <w:numPr>
          <w:ilvl w:val="2"/>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Transferability</w:t>
      </w:r>
      <w:r>
        <w:rPr>
          <w:rFonts w:ascii="Times New Roman" w:cs="Times New Roman" w:eastAsia="Times New Roman" w:hAnsi="Times New Roman"/>
          <w:sz w:val="21"/>
          <w:szCs w:val="21"/>
          <w:color w:val="auto"/>
        </w:rPr>
        <w:t>. Neither ISOs nor, except as the Administrator otherwise expressly provides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third sentence of this </w:t>
      </w:r>
      <w:r>
        <w:rPr>
          <w:rFonts w:ascii="Times New Roman" w:cs="Times New Roman" w:eastAsia="Times New Roman" w:hAnsi="Times New Roman"/>
          <w:sz w:val="21"/>
          <w:szCs w:val="21"/>
          <w:u w:val="single" w:color="auto"/>
          <w:color w:val="auto"/>
        </w:rPr>
        <w:t>Section 6(a)(3)</w:t>
      </w:r>
      <w:r>
        <w:rPr>
          <w:rFonts w:ascii="Times New Roman" w:cs="Times New Roman" w:eastAsia="Times New Roman" w:hAnsi="Times New Roman"/>
          <w:sz w:val="21"/>
          <w:szCs w:val="21"/>
          <w:color w:val="auto"/>
        </w:rPr>
        <w:t xml:space="preserve">, other Awards may be transferred other than by will or by the laws of descent and distribution. During a Participant’s lifetime, ISOs and, except as the Administrator otherwise expressly provides in accordance with the third sentence of this </w:t>
      </w:r>
      <w:r>
        <w:rPr>
          <w:rFonts w:ascii="Times New Roman" w:cs="Times New Roman" w:eastAsia="Times New Roman" w:hAnsi="Times New Roman"/>
          <w:sz w:val="21"/>
          <w:szCs w:val="21"/>
          <w:u w:val="single" w:color="auto"/>
          <w:color w:val="auto"/>
        </w:rPr>
        <w:t>Section 6(a)(3)</w:t>
      </w:r>
      <w:r>
        <w:rPr>
          <w:rFonts w:ascii="Times New Roman" w:cs="Times New Roman" w:eastAsia="Times New Roman" w:hAnsi="Times New Roman"/>
          <w:sz w:val="21"/>
          <w:szCs w:val="21"/>
          <w:color w:val="auto"/>
        </w:rPr>
        <w:t>, SARs and NSOs may be exercised only by the Participant. The Administrator may permit the gratuitous transfer (i.e., transfer not for value) of Awards other than ISOs, subject to applicable securities and other laws and such terms and conditions as the Administrator may determine.</w:t>
      </w:r>
    </w:p>
    <w:p>
      <w:pPr>
        <w:spacing w:after="0" w:line="169" w:lineRule="exact"/>
        <w:rPr>
          <w:rFonts w:ascii="Times New Roman" w:cs="Times New Roman" w:eastAsia="Times New Roman" w:hAnsi="Times New Roman"/>
          <w:sz w:val="21"/>
          <w:szCs w:val="21"/>
          <w:b w:val="1"/>
          <w:bCs w:val="1"/>
          <w:color w:val="auto"/>
        </w:rPr>
      </w:pPr>
    </w:p>
    <w:p>
      <w:pPr>
        <w:jc w:val="both"/>
        <w:ind w:firstLine="1247"/>
        <w:spacing w:after="0" w:line="255" w:lineRule="auto"/>
        <w:tabs>
          <w:tab w:leader="none" w:pos="1709" w:val="left"/>
        </w:tabs>
        <w:numPr>
          <w:ilvl w:val="2"/>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Exercisability</w:t>
      </w:r>
      <w:r>
        <w:rPr>
          <w:rFonts w:ascii="Times New Roman" w:cs="Times New Roman" w:eastAsia="Times New Roman" w:hAnsi="Times New Roman"/>
          <w:sz w:val="21"/>
          <w:szCs w:val="21"/>
          <w:color w:val="auto"/>
        </w:rPr>
        <w:t>. The Administrator will determine the time or times at which an Award vests or becomes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and the terms and conditions on which a Stock Option or SAR remains exercisable. Without limiting the foregoing,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169" w:lineRule="exact"/>
        <w:rPr>
          <w:rFonts w:ascii="Times New Roman" w:cs="Times New Roman" w:eastAsia="Times New Roman" w:hAnsi="Times New Roman"/>
          <w:sz w:val="21"/>
          <w:szCs w:val="21"/>
          <w:b w:val="1"/>
          <w:bCs w:val="1"/>
          <w:color w:val="auto"/>
        </w:rPr>
      </w:pPr>
    </w:p>
    <w:p>
      <w:pPr>
        <w:jc w:val="both"/>
        <w:ind w:left="620" w:firstLine="1248"/>
        <w:spacing w:after="0" w:line="259" w:lineRule="auto"/>
        <w:tabs>
          <w:tab w:leader="none" w:pos="2371" w:val="left"/>
        </w:tabs>
        <w:numPr>
          <w:ilvl w:val="3"/>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8"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21"/>
          <w:szCs w:val="21"/>
          <w:color w:val="auto"/>
        </w:rPr>
        <w:t>held by the Participant or by the Participant’s permitted transferees, if any, to the extent not then vested, will be forfeited.</w:t>
      </w:r>
    </w:p>
    <w:p>
      <w:pPr>
        <w:spacing w:after="0" w:line="212" w:lineRule="exact"/>
        <w:rPr>
          <w:sz w:val="20"/>
          <w:szCs w:val="20"/>
          <w:color w:val="auto"/>
        </w:rPr>
      </w:pPr>
    </w:p>
    <w:p>
      <w:pPr>
        <w:jc w:val="both"/>
        <w:ind w:left="620" w:firstLine="1248"/>
        <w:spacing w:after="0" w:line="255" w:lineRule="auto"/>
        <w:tabs>
          <w:tab w:leader="none" w:pos="2385" w:val="left"/>
        </w:tabs>
        <w:numPr>
          <w:ilvl w:val="2"/>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Subject to (C) and (D) below, each Stock Option and SAR (or portion thereof) held by the Participant or the Participant’s permitted transferees, if any, immediately prior to the cessation of the Participant’s Employment, to the extent then vested and exercisable, will remain exercisable for the lesser of (i) a period of three (3) months following such cessation of Employment or (ii) the period ending on the latest date on which such Stock Option or SAR could have been exercised without regard to this </w:t>
      </w:r>
      <w:r>
        <w:rPr>
          <w:rFonts w:ascii="Times New Roman" w:cs="Times New Roman" w:eastAsia="Times New Roman" w:hAnsi="Times New Roman"/>
          <w:sz w:val="21"/>
          <w:szCs w:val="21"/>
          <w:u w:val="single" w:color="auto"/>
          <w:color w:val="auto"/>
        </w:rPr>
        <w:t>Section 6(a)(4)</w:t>
      </w:r>
      <w:r>
        <w:rPr>
          <w:rFonts w:ascii="Times New Roman" w:cs="Times New Roman" w:eastAsia="Times New Roman" w:hAnsi="Times New Roman"/>
          <w:sz w:val="21"/>
          <w:szCs w:val="21"/>
          <w:color w:val="auto"/>
        </w:rPr>
        <w:t>, and will thereupon immediately terminate.</w:t>
      </w:r>
    </w:p>
    <w:p>
      <w:pPr>
        <w:spacing w:after="0" w:line="167" w:lineRule="exact"/>
        <w:rPr>
          <w:rFonts w:ascii="Times New Roman" w:cs="Times New Roman" w:eastAsia="Times New Roman" w:hAnsi="Times New Roman"/>
          <w:sz w:val="21"/>
          <w:szCs w:val="21"/>
          <w:b w:val="1"/>
          <w:bCs w:val="1"/>
          <w:color w:val="auto"/>
        </w:rPr>
      </w:pPr>
    </w:p>
    <w:p>
      <w:pPr>
        <w:jc w:val="both"/>
        <w:ind w:left="620" w:firstLine="1248"/>
        <w:spacing w:after="0" w:line="266" w:lineRule="auto"/>
        <w:tabs>
          <w:tab w:leader="none" w:pos="2500" w:val="left"/>
        </w:tabs>
        <w:numPr>
          <w:ilvl w:val="2"/>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(D) below, each Stock Option and SAR (or portion thereof) held by a Participant or the Participant’s permitted transferees, if any, immediately prior to the cessation of the Participant’s Employment due to the Participant’s death or by the Company due to the Participant’s Disability, to the extent then vested and exercisable, will remain exercisable for the lesser of (i) the one (1)-year period ending on the first anniversary of such cessation of Employment or</w:t>
      </w:r>
    </w:p>
    <w:p>
      <w:pPr>
        <w:spacing w:after="0" w:line="1" w:lineRule="exact"/>
        <w:rPr>
          <w:rFonts w:ascii="Times New Roman" w:cs="Times New Roman" w:eastAsia="Times New Roman" w:hAnsi="Times New Roman"/>
          <w:sz w:val="20"/>
          <w:szCs w:val="20"/>
          <w:b w:val="1"/>
          <w:bCs w:val="1"/>
          <w:color w:val="auto"/>
        </w:rPr>
      </w:pPr>
    </w:p>
    <w:p>
      <w:pPr>
        <w:ind w:left="620" w:firstLine="5"/>
        <w:spacing w:after="0" w:line="249" w:lineRule="auto"/>
        <w:tabs>
          <w:tab w:leader="none" w:pos="93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period ending on the latest date on which such Stock Option or SAR could have been exercised without regard to this </w:t>
      </w:r>
      <w:r>
        <w:rPr>
          <w:rFonts w:ascii="Times New Roman" w:cs="Times New Roman" w:eastAsia="Times New Roman" w:hAnsi="Times New Roman"/>
          <w:sz w:val="21"/>
          <w:szCs w:val="21"/>
          <w:u w:val="single" w:color="auto"/>
          <w:color w:val="auto"/>
        </w:rPr>
        <w:t>Section 6(a)(4)</w:t>
      </w:r>
      <w:r>
        <w:rPr>
          <w:rFonts w:ascii="Times New Roman" w:cs="Times New Roman" w:eastAsia="Times New Roman" w:hAnsi="Times New Roman"/>
          <w:sz w:val="21"/>
          <w:szCs w:val="21"/>
          <w:color w:val="auto"/>
        </w:rPr>
        <w:t>, and will thereupon immediately terminate.</w:t>
      </w:r>
    </w:p>
    <w:p>
      <w:pPr>
        <w:spacing w:after="0" w:line="174" w:lineRule="exact"/>
        <w:rPr>
          <w:rFonts w:ascii="Times New Roman" w:cs="Times New Roman" w:eastAsia="Times New Roman" w:hAnsi="Times New Roman"/>
          <w:sz w:val="21"/>
          <w:szCs w:val="21"/>
          <w:color w:val="auto"/>
        </w:rPr>
      </w:pPr>
    </w:p>
    <w:p>
      <w:pPr>
        <w:jc w:val="both"/>
        <w:ind w:left="620" w:firstLine="1248"/>
        <w:spacing w:after="0" w:line="255" w:lineRule="auto"/>
        <w:tabs>
          <w:tab w:leader="none" w:pos="2462" w:val="left"/>
        </w:tabs>
        <w:numPr>
          <w:ilvl w:val="2"/>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165" w:lineRule="exact"/>
        <w:rPr>
          <w:rFonts w:ascii="Times New Roman" w:cs="Times New Roman" w:eastAsia="Times New Roman" w:hAnsi="Times New Roman"/>
          <w:sz w:val="21"/>
          <w:szCs w:val="21"/>
          <w:b w:val="1"/>
          <w:bCs w:val="1"/>
          <w:color w:val="auto"/>
        </w:rPr>
      </w:pPr>
    </w:p>
    <w:p>
      <w:pPr>
        <w:jc w:val="both"/>
        <w:ind w:firstLine="1247"/>
        <w:spacing w:after="0" w:line="263" w:lineRule="auto"/>
        <w:tabs>
          <w:tab w:leader="none" w:pos="1709"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Compensation</w:t>
      </w:r>
      <w:r>
        <w:rPr>
          <w:rFonts w:ascii="Times New Roman" w:cs="Times New Roman" w:eastAsia="Times New Roman" w:hAnsi="Times New Roman"/>
          <w:sz w:val="20"/>
          <w:szCs w:val="20"/>
          <w:color w:val="auto"/>
        </w:rPr>
        <w:t>. The Administrator may provide in any case that any outstanding Award (whether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vested or 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in favor of the Company or any of its affiliates by which the Participant is bound. Each Award will be subject to any policy of the Company or any of its subsidiaries that relates to trading on non-public information and permitted transactions with respect to shares of Stock, including limitations on hedging and pledging. In addition, each Award will be subject (i) to recoupment to the extent a Participant is or becomes subject to the Company’s Policy for Recoupment of Incentive Compensation, as the same may be amended and in effect from time to time (the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and (ii) to any other policy of the Company or any of its subsidiaries that provides for forfeiture, disgorgement, or clawback with respect to incentive compensation that includes Awards under the Plan. Each Participant, by accepting or being deemed to have accepted an Award under the Plan, agrees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8" w:right="33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20"/>
          <w:szCs w:val="20"/>
          <w:color w:val="auto"/>
        </w:rPr>
        <w:t xml:space="preserve">will be deemed to have agreed) to the terms of this </w:t>
      </w:r>
      <w:r>
        <w:rPr>
          <w:rFonts w:ascii="Times New Roman" w:cs="Times New Roman" w:eastAsia="Times New Roman" w:hAnsi="Times New Roman"/>
          <w:sz w:val="20"/>
          <w:szCs w:val="20"/>
          <w:u w:val="single" w:color="auto"/>
          <w:color w:val="auto"/>
        </w:rPr>
        <w:t>Section 6(a)(5)</w:t>
      </w:r>
      <w:r>
        <w:rPr>
          <w:rFonts w:ascii="Times New Roman" w:cs="Times New Roman" w:eastAsia="Times New Roman" w:hAnsi="Times New Roman"/>
          <w:sz w:val="20"/>
          <w:szCs w:val="20"/>
          <w:color w:val="auto"/>
        </w:rPr>
        <w:t xml:space="preserve">, the Clawback Policy and any other clawback, recoupment or similar policy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w:t>
      </w:r>
      <w:r>
        <w:rPr>
          <w:rFonts w:ascii="Times New Roman" w:cs="Times New Roman" w:eastAsia="Times New Roman" w:hAnsi="Times New Roman"/>
          <w:sz w:val="20"/>
          <w:szCs w:val="20"/>
          <w:u w:val="single" w:color="auto"/>
          <w:color w:val="auto"/>
        </w:rPr>
        <w:t>Section 6(a)(5)</w:t>
      </w:r>
      <w:r>
        <w:rPr>
          <w:rFonts w:ascii="Times New Roman" w:cs="Times New Roman" w:eastAsia="Times New Roman" w:hAnsi="Times New Roman"/>
          <w:sz w:val="20"/>
          <w:szCs w:val="20"/>
          <w:color w:val="auto"/>
        </w:rPr>
        <w:t xml:space="preserve">. Neither the Administrator nor the Company nor any other person, other than the Participant and the Participant’s permitted transferees, if any, will be responsible for any adverse tax or other consequences to a Participant or the Participant’s permitted transferees, if any, that may arise in connection with this </w:t>
      </w:r>
      <w:r>
        <w:rPr>
          <w:rFonts w:ascii="Times New Roman" w:cs="Times New Roman" w:eastAsia="Times New Roman" w:hAnsi="Times New Roman"/>
          <w:sz w:val="20"/>
          <w:szCs w:val="20"/>
          <w:u w:val="single" w:color="auto"/>
          <w:color w:val="auto"/>
        </w:rPr>
        <w:t>Section 6(a)(5)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247"/>
        <w:spacing w:after="0" w:line="262" w:lineRule="auto"/>
        <w:tabs>
          <w:tab w:leader="none" w:pos="1753"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The grant of an Award and the issuance, delivery, vesting and retention of Stock, cash or other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an Award are conditioned upon the full satisfaction by the Participant of all tax and other withholding requirements with respect to the Award. The Administrator will prescribe such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a parent or subsidiary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of Stock from an Award or permit a Participant to tender previously owned shares of Stock in satisfaction of tax or other withholding requirements (but not in excess of the maximum withholding amount consistent with the Award being subject to equity accounting treatment under the Accounting Rules). Any amounts withheld pursuant to this </w:t>
      </w:r>
      <w:r>
        <w:rPr>
          <w:rFonts w:ascii="Times New Roman" w:cs="Times New Roman" w:eastAsia="Times New Roman" w:hAnsi="Times New Roman"/>
          <w:sz w:val="20"/>
          <w:szCs w:val="20"/>
          <w:u w:val="single" w:color="auto"/>
          <w:color w:val="auto"/>
        </w:rPr>
        <w:t>Section 6(a)(6)</w:t>
      </w:r>
      <w:r>
        <w:rPr>
          <w:rFonts w:ascii="Times New Roman" w:cs="Times New Roman" w:eastAsia="Times New Roman" w:hAnsi="Times New Roman"/>
          <w:sz w:val="20"/>
          <w:szCs w:val="20"/>
          <w:color w:val="auto"/>
        </w:rPr>
        <w:t xml:space="preserve"> will be treated as though such amount had been paid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70" w:lineRule="exact"/>
        <w:rPr>
          <w:rFonts w:ascii="Times New Roman" w:cs="Times New Roman" w:eastAsia="Times New Roman" w:hAnsi="Times New Roman"/>
          <w:sz w:val="20"/>
          <w:szCs w:val="20"/>
          <w:b w:val="1"/>
          <w:bCs w:val="1"/>
          <w:color w:val="auto"/>
        </w:rPr>
      </w:pPr>
    </w:p>
    <w:p>
      <w:pPr>
        <w:jc w:val="both"/>
        <w:ind w:firstLine="1247"/>
        <w:spacing w:after="0" w:line="255" w:lineRule="auto"/>
        <w:tabs>
          <w:tab w:leader="none" w:pos="1702"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Dividend Equivalents</w:t>
      </w:r>
      <w:r>
        <w:rPr>
          <w:rFonts w:ascii="Times New Roman" w:cs="Times New Roman" w:eastAsia="Times New Roman" w:hAnsi="Times New Roman"/>
          <w:sz w:val="21"/>
          <w:szCs w:val="21"/>
          <w:color w:val="auto"/>
        </w:rPr>
        <w:t>. The Administrator may provide for the payment of amounts (on terms and subject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restrictions and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applicable requirements of Section 409A.</w:t>
      </w:r>
    </w:p>
    <w:p>
      <w:pPr>
        <w:spacing w:after="0" w:line="167" w:lineRule="exact"/>
        <w:rPr>
          <w:rFonts w:ascii="Times New Roman" w:cs="Times New Roman" w:eastAsia="Times New Roman" w:hAnsi="Times New Roman"/>
          <w:sz w:val="21"/>
          <w:szCs w:val="21"/>
          <w:b w:val="1"/>
          <w:bCs w:val="1"/>
          <w:color w:val="auto"/>
        </w:rPr>
      </w:pPr>
    </w:p>
    <w:p>
      <w:pPr>
        <w:jc w:val="both"/>
        <w:ind w:firstLine="1247"/>
        <w:spacing w:after="0" w:line="260" w:lineRule="auto"/>
        <w:tabs>
          <w:tab w:leader="none" w:pos="1723"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Limited</w:t>
      </w:r>
      <w:r>
        <w:rPr>
          <w:rFonts w:ascii="Times New Roman" w:cs="Times New Roman" w:eastAsia="Times New Roman" w:hAnsi="Times New Roman"/>
          <w:sz w:val="21"/>
          <w:szCs w:val="21"/>
          <w:color w:val="auto"/>
        </w:rPr>
        <w:t>. Nothing in the Plan or any Award will be construed as giving any person the right to be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Award or to continued employment or service with the Company or any of its subsidiaries, or any rights as a stockholder except as to shares of Stock actually delivered under the Plan. The loss of existing or potential profit in any Award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8" w:right="339" w:bottom="1440" w:gutter="0" w:footer="0" w:header="0"/>
        </w:sectPr>
      </w:pPr>
    </w:p>
    <w:bookmarkStart w:id="13" w:name="page14"/>
    <w:bookmarkEnd w:id="13"/>
    <w:p>
      <w:pPr>
        <w:spacing w:after="0" w:line="273" w:lineRule="auto"/>
        <w:rPr>
          <w:sz w:val="20"/>
          <w:szCs w:val="20"/>
          <w:color w:val="auto"/>
        </w:rPr>
      </w:pPr>
      <w:r>
        <w:rPr>
          <w:rFonts w:ascii="Times New Roman" w:cs="Times New Roman" w:eastAsia="Times New Roman" w:hAnsi="Times New Roman"/>
          <w:sz w:val="21"/>
          <w:szCs w:val="21"/>
          <w:color w:val="auto"/>
        </w:rPr>
        <w:t>constitute an element of damages in the event of a termination of a Participant’s Employment for any reason, even if the termination is in violation of an obligation of the Company or any of its subsidiaries to the Participant.</w:t>
      </w:r>
    </w:p>
    <w:p>
      <w:pPr>
        <w:spacing w:after="0" w:line="148" w:lineRule="exact"/>
        <w:rPr>
          <w:sz w:val="20"/>
          <w:szCs w:val="20"/>
          <w:color w:val="auto"/>
        </w:rPr>
      </w:pPr>
    </w:p>
    <w:p>
      <w:pPr>
        <w:jc w:val="both"/>
        <w:ind w:firstLine="1247"/>
        <w:spacing w:after="0" w:line="253" w:lineRule="auto"/>
        <w:tabs>
          <w:tab w:leader="none" w:pos="1796"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Coordination with Other Plans</w:t>
      </w:r>
      <w:r>
        <w:rPr>
          <w:rFonts w:ascii="Times New Roman" w:cs="Times New Roman" w:eastAsia="Times New Roman" w:hAnsi="Times New Roman"/>
          <w:sz w:val="21"/>
          <w:szCs w:val="21"/>
          <w:color w:val="auto"/>
        </w:rPr>
        <w:t>. Shares of Stock and/or Awards under the Plan may be issued or granted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tandem with, or in satisfaction of or substitution for, other 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Stock (including, without limitation, Unrestricted Stock) under the Plan if the Administrator so determines, in which case the shares delivered will be treated as awarded under the Plan (and will reduce the number of shares thereafter available for delivery under the Plan in accordance with the rules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b w:val="1"/>
          <w:bCs w:val="1"/>
          <w:color w:val="auto"/>
        </w:rPr>
      </w:pPr>
    </w:p>
    <w:p>
      <w:pPr>
        <w:ind w:left="1800" w:hanging="553"/>
        <w:spacing w:after="0"/>
        <w:tabs>
          <w:tab w:leader="none" w:pos="180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w:t>
      </w:r>
    </w:p>
    <w:p>
      <w:pPr>
        <w:spacing w:after="0" w:line="213" w:lineRule="exact"/>
        <w:rPr>
          <w:rFonts w:ascii="Times New Roman" w:cs="Times New Roman" w:eastAsia="Times New Roman" w:hAnsi="Times New Roman"/>
          <w:sz w:val="21"/>
          <w:szCs w:val="21"/>
          <w:b w:val="1"/>
          <w:bCs w:val="1"/>
          <w:color w:val="auto"/>
        </w:rPr>
      </w:pPr>
    </w:p>
    <w:p>
      <w:pPr>
        <w:jc w:val="both"/>
        <w:ind w:left="620" w:firstLine="1248"/>
        <w:spacing w:after="0" w:line="259" w:lineRule="auto"/>
        <w:tabs>
          <w:tab w:leader="none" w:pos="2513"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Section 11(b)</w:t>
      </w:r>
      <w:r>
        <w:rPr>
          <w:rFonts w:ascii="Times New Roman" w:cs="Times New Roman" w:eastAsia="Times New Roman" w:hAnsi="Times New Roman"/>
          <w:sz w:val="21"/>
          <w:szCs w:val="21"/>
          <w:color w:val="auto"/>
        </w:rPr>
        <w:t xml:space="preserve"> hereof, each Award will contain such terms as the Administrator determines and will be construed and administered such that the Award either qualifies for an exemption from the requirements of Section 409A or satisfies such requirements.</w:t>
      </w:r>
    </w:p>
    <w:p>
      <w:pPr>
        <w:spacing w:after="0" w:line="163" w:lineRule="exact"/>
        <w:rPr>
          <w:rFonts w:ascii="Times New Roman" w:cs="Times New Roman" w:eastAsia="Times New Roman" w:hAnsi="Times New Roman"/>
          <w:sz w:val="21"/>
          <w:szCs w:val="21"/>
          <w:b w:val="1"/>
          <w:bCs w:val="1"/>
          <w:color w:val="auto"/>
        </w:rPr>
      </w:pPr>
    </w:p>
    <w:p>
      <w:pPr>
        <w:jc w:val="both"/>
        <w:ind w:left="620" w:firstLine="1248"/>
        <w:spacing w:after="0" w:line="258" w:lineRule="auto"/>
        <w:tabs>
          <w:tab w:leader="none" w:pos="2450"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desirable to avoid the imposition of an additional tax, interest or penalty under Section 409A.</w:t>
      </w:r>
    </w:p>
    <w:p>
      <w:pPr>
        <w:spacing w:after="0" w:line="166" w:lineRule="exact"/>
        <w:rPr>
          <w:rFonts w:ascii="Times New Roman" w:cs="Times New Roman" w:eastAsia="Times New Roman" w:hAnsi="Times New Roman"/>
          <w:sz w:val="21"/>
          <w:szCs w:val="21"/>
          <w:b w:val="1"/>
          <w:bCs w:val="1"/>
          <w:color w:val="auto"/>
        </w:rPr>
      </w:pPr>
    </w:p>
    <w:p>
      <w:pPr>
        <w:jc w:val="both"/>
        <w:ind w:left="620" w:firstLine="1248"/>
        <w:spacing w:after="0" w:line="250" w:lineRule="auto"/>
        <w:tabs>
          <w:tab w:leader="none" w:pos="2358"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 (6)-month period measured from the date of such “separation from service” and (ii) the date of the Participant’s death (the “</w:t>
      </w:r>
      <w:r>
        <w:rPr>
          <w:rFonts w:ascii="Times New Roman" w:cs="Times New Roman" w:eastAsia="Times New Roman" w:hAnsi="Times New Roman"/>
          <w:sz w:val="21"/>
          <w:szCs w:val="21"/>
          <w:u w:val="single" w:color="auto"/>
          <w:color w:val="auto"/>
        </w:rPr>
        <w:t>Delay Period</w:t>
      </w:r>
      <w:r>
        <w:rPr>
          <w:rFonts w:ascii="Times New Roman" w:cs="Times New Roman" w:eastAsia="Times New Roman" w:hAnsi="Times New Roman"/>
          <w:sz w:val="21"/>
          <w:szCs w:val="21"/>
          <w:color w:val="auto"/>
        </w:rPr>
        <w:t xml:space="preserve">”). Upon the expiration of the Delay Period, all payments delayed pursuant to this </w:t>
      </w:r>
      <w:r>
        <w:rPr>
          <w:rFonts w:ascii="Times New Roman" w:cs="Times New Roman" w:eastAsia="Times New Roman" w:hAnsi="Times New Roman"/>
          <w:sz w:val="21"/>
          <w:szCs w:val="21"/>
          <w:u w:val="single" w:color="auto"/>
          <w:color w:val="auto"/>
        </w:rPr>
        <w:t>Section 6(a)(10)(C)</w:t>
      </w:r>
      <w:r>
        <w:rPr>
          <w:rFonts w:ascii="Times New Roman" w:cs="Times New Roman" w:eastAsia="Times New Roman" w:hAnsi="Times New Roman"/>
          <w:sz w:val="21"/>
          <w:szCs w:val="21"/>
          <w:color w:val="auto"/>
        </w:rPr>
        <w:t xml:space="preserve">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178" w:lineRule="exact"/>
        <w:rPr>
          <w:rFonts w:ascii="Times New Roman" w:cs="Times New Roman" w:eastAsia="Times New Roman" w:hAnsi="Times New Roman"/>
          <w:sz w:val="21"/>
          <w:szCs w:val="21"/>
          <w:b w:val="1"/>
          <w:bCs w:val="1"/>
          <w:color w:val="auto"/>
        </w:rPr>
      </w:pPr>
    </w:p>
    <w:p>
      <w:pPr>
        <w:ind w:left="2460" w:hanging="592"/>
        <w:spacing w:after="0"/>
        <w:tabs>
          <w:tab w:leader="none" w:pos="2460"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Section 409A, each payment made under the Plan or any Award will be treated as a</w:t>
      </w:r>
    </w:p>
    <w:p>
      <w:pPr>
        <w:spacing w:after="0" w:line="28" w:lineRule="exact"/>
        <w:rPr>
          <w:rFonts w:ascii="Times New Roman" w:cs="Times New Roman" w:eastAsia="Times New Roman" w:hAnsi="Times New Roman"/>
          <w:sz w:val="21"/>
          <w:szCs w:val="21"/>
          <w:b w:val="1"/>
          <w:bCs w:val="1"/>
          <w:color w:val="auto"/>
        </w:rPr>
      </w:pPr>
    </w:p>
    <w:p>
      <w:pPr>
        <w:ind w:left="6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separate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8" w:right="339" w:bottom="1440" w:gutter="0" w:footer="0" w:header="0"/>
        </w:sectPr>
      </w:pPr>
    </w:p>
    <w:bookmarkStart w:id="14" w:name="page15"/>
    <w:bookmarkEnd w:id="14"/>
    <w:p>
      <w:pPr>
        <w:jc w:val="both"/>
        <w:ind w:left="620" w:firstLine="1248"/>
        <w:spacing w:after="0" w:line="275" w:lineRule="auto"/>
        <w:tabs>
          <w:tab w:leader="none" w:pos="2373" w:val="left"/>
        </w:tabs>
        <w:numPr>
          <w:ilvl w:val="3"/>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regard to any payment considered to be nonqualified deferred compensation under Section 409A, to the extent applicable, that is payable upon a change in control of the Company or other similar event, to the extent required to avoid the imposition of an additional tax, interest or penalty under Section 409A, no amount will be payable unless such change in control constitutes a “change in control event” within the meaning of Section 1.409A-3(i)(5) of the Treasury Regulations.</w:t>
      </w:r>
    </w:p>
    <w:p>
      <w:pPr>
        <w:spacing w:after="0" w:line="148" w:lineRule="exact"/>
        <w:rPr>
          <w:rFonts w:ascii="Times New Roman" w:cs="Times New Roman" w:eastAsia="Times New Roman" w:hAnsi="Times New Roman"/>
          <w:sz w:val="20"/>
          <w:szCs w:val="20"/>
          <w:b w:val="1"/>
          <w:bCs w:val="1"/>
          <w:color w:val="auto"/>
        </w:rPr>
      </w:pPr>
    </w:p>
    <w:p>
      <w:pPr>
        <w:ind w:left="1080" w:hanging="455"/>
        <w:spacing w:after="0"/>
        <w:tabs>
          <w:tab w:leader="none" w:pos="1080" w:val="left"/>
        </w:tabs>
        <w:numPr>
          <w:ilvl w:val="1"/>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Stock Options and SARs</w:t>
      </w:r>
      <w:r>
        <w:rPr>
          <w:rFonts w:ascii="Times New Roman" w:cs="Times New Roman" w:eastAsia="Times New Roman" w:hAnsi="Times New Roman"/>
          <w:sz w:val="21"/>
          <w:szCs w:val="21"/>
          <w:color w:val="auto"/>
        </w:rPr>
        <w:t>.</w:t>
      </w:r>
    </w:p>
    <w:p>
      <w:pPr>
        <w:spacing w:after="0" w:line="211" w:lineRule="exact"/>
        <w:rPr>
          <w:rFonts w:ascii="Times New Roman" w:cs="Times New Roman" w:eastAsia="Times New Roman" w:hAnsi="Times New Roman"/>
          <w:sz w:val="21"/>
          <w:szCs w:val="21"/>
          <w:b w:val="1"/>
          <w:bCs w:val="1"/>
          <w:color w:val="auto"/>
        </w:rPr>
      </w:pPr>
    </w:p>
    <w:p>
      <w:pPr>
        <w:jc w:val="both"/>
        <w:ind w:firstLine="1247"/>
        <w:spacing w:after="0" w:line="268" w:lineRule="auto"/>
        <w:tabs>
          <w:tab w:leader="none" w:pos="1714" w:val="left"/>
        </w:tabs>
        <w:numPr>
          <w:ilvl w:val="2"/>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 and Manner of Exercise</w:t>
      </w:r>
      <w:r>
        <w:rPr>
          <w:rFonts w:ascii="Times New Roman" w:cs="Times New Roman" w:eastAsia="Times New Roman" w:hAnsi="Times New Roman"/>
          <w:sz w:val="20"/>
          <w:szCs w:val="20"/>
          <w:color w:val="auto"/>
        </w:rPr>
        <w:t>. Unless the Administrator expressly provides otherwise, no Stock Option or SAR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deemed to have been exercised until the Administrator receives a notice of exercise in a form acceptable to the Administrator that is signed by the appropriate person and accompanied by any payment required under the Award. The Administrator may at any time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155" w:lineRule="exact"/>
        <w:rPr>
          <w:rFonts w:ascii="Times New Roman" w:cs="Times New Roman" w:eastAsia="Times New Roman" w:hAnsi="Times New Roman"/>
          <w:sz w:val="20"/>
          <w:szCs w:val="20"/>
          <w:b w:val="1"/>
          <w:bCs w:val="1"/>
          <w:color w:val="auto"/>
        </w:rPr>
      </w:pPr>
    </w:p>
    <w:p>
      <w:pPr>
        <w:jc w:val="both"/>
        <w:ind w:firstLine="1247"/>
        <w:spacing w:after="0" w:line="255" w:lineRule="auto"/>
        <w:tabs>
          <w:tab w:leader="none" w:pos="1692" w:val="left"/>
        </w:tabs>
        <w:numPr>
          <w:ilvl w:val="2"/>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The exercise price (or the base value from which appreciation is to be measured) per share of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requiring exercise must be no less than one hundred percent (100%) (in the case of an ISO granted to a ten percent (10%) stockholder within the meaning of Section 422(b)(6) of the Code, one hundred ten percent (110%)) of the Fair Market Value of a share of Stock, determined as of the date of grant of the Award, or such higher amount as the Administrator may determine in connection with the grant.</w:t>
      </w:r>
    </w:p>
    <w:p>
      <w:pPr>
        <w:spacing w:after="0" w:line="167" w:lineRule="exact"/>
        <w:rPr>
          <w:rFonts w:ascii="Times New Roman" w:cs="Times New Roman" w:eastAsia="Times New Roman" w:hAnsi="Times New Roman"/>
          <w:sz w:val="21"/>
          <w:szCs w:val="21"/>
          <w:b w:val="1"/>
          <w:bCs w:val="1"/>
          <w:color w:val="auto"/>
        </w:rPr>
      </w:pPr>
    </w:p>
    <w:p>
      <w:pPr>
        <w:jc w:val="both"/>
        <w:ind w:firstLine="1247"/>
        <w:spacing w:after="0" w:line="250" w:lineRule="auto"/>
        <w:tabs>
          <w:tab w:leader="none" w:pos="1803" w:val="left"/>
        </w:tabs>
        <w:numPr>
          <w:ilvl w:val="2"/>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 of Exercise Price</w:t>
      </w:r>
      <w:r>
        <w:rPr>
          <w:rFonts w:ascii="Times New Roman" w:cs="Times New Roman" w:eastAsia="Times New Roman" w:hAnsi="Times New Roman"/>
          <w:sz w:val="21"/>
          <w:szCs w:val="21"/>
          <w:color w:val="auto"/>
        </w:rPr>
        <w:t>. Where the exercise of an Award (or portion thereof) is to be accompanied by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payment of the exercise price must be made by cash or check acceptable to the Administrator or, if so permitted by the Administrator and if legally permissible, (i) through the delivery of previously acquired unrestricted shares of Stock, or the withholding of unrestricted shares of Stock otherwise deliverable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189" w:lineRule="exact"/>
        <w:rPr>
          <w:rFonts w:ascii="Times New Roman" w:cs="Times New Roman" w:eastAsia="Times New Roman" w:hAnsi="Times New Roman"/>
          <w:sz w:val="21"/>
          <w:szCs w:val="21"/>
          <w:b w:val="1"/>
          <w:bCs w:val="1"/>
          <w:color w:val="auto"/>
        </w:rPr>
      </w:pPr>
    </w:p>
    <w:p>
      <w:pPr>
        <w:jc w:val="both"/>
        <w:ind w:firstLine="1247"/>
        <w:spacing w:after="0" w:line="270" w:lineRule="auto"/>
        <w:tabs>
          <w:tab w:leader="none" w:pos="1692" w:val="left"/>
        </w:tabs>
        <w:numPr>
          <w:ilvl w:val="2"/>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Maximum Term</w:t>
      </w:r>
      <w:r>
        <w:rPr>
          <w:rFonts w:ascii="Times New Roman" w:cs="Times New Roman" w:eastAsia="Times New Roman" w:hAnsi="Times New Roman"/>
          <w:sz w:val="20"/>
          <w:szCs w:val="20"/>
          <w:color w:val="auto"/>
        </w:rPr>
        <w:t>. The maximum term of Stock Options and SARs must not exceed ten (10) years from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grant (or five (5) years from the date of grant in the case of an ISO granted to a ten percent (10%) stockholder described in </w:t>
      </w:r>
      <w:r>
        <w:rPr>
          <w:rFonts w:ascii="Times New Roman" w:cs="Times New Roman" w:eastAsia="Times New Roman" w:hAnsi="Times New Roman"/>
          <w:sz w:val="20"/>
          <w:szCs w:val="20"/>
          <w:u w:val="single" w:color="auto"/>
          <w:color w:val="auto"/>
        </w:rPr>
        <w:t>Section 6(b)</w:t>
      </w:r>
    </w:p>
    <w:p>
      <w:pPr>
        <w:ind w:left="300" w:hanging="296"/>
        <w:spacing w:after="0"/>
        <w:tabs>
          <w:tab w:leader="none" w:pos="300" w:val="left"/>
        </w:tabs>
        <w:numPr>
          <w:ilvl w:val="0"/>
          <w:numId w:val="1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above).</w:t>
      </w:r>
    </w:p>
    <w:p>
      <w:pPr>
        <w:spacing w:after="0" w:line="185" w:lineRule="exact"/>
        <w:rPr>
          <w:rFonts w:ascii="Times New Roman" w:cs="Times New Roman" w:eastAsia="Times New Roman" w:hAnsi="Times New Roman"/>
          <w:sz w:val="21"/>
          <w:szCs w:val="21"/>
          <w:u w:val="single" w:color="auto"/>
          <w:color w:val="auto"/>
        </w:rPr>
      </w:pPr>
    </w:p>
    <w:p>
      <w:pPr>
        <w:jc w:val="both"/>
        <w:ind w:firstLine="1247"/>
        <w:spacing w:after="0" w:line="260" w:lineRule="auto"/>
        <w:tabs>
          <w:tab w:leader="none" w:pos="1754" w:val="left"/>
        </w:tabs>
        <w:numPr>
          <w:ilvl w:val="2"/>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Repricing</w:t>
      </w:r>
      <w:r>
        <w:rPr>
          <w:rFonts w:ascii="Times New Roman" w:cs="Times New Roman" w:eastAsia="Times New Roman" w:hAnsi="Times New Roman"/>
          <w:sz w:val="21"/>
          <w:szCs w:val="21"/>
          <w:color w:val="auto"/>
        </w:rPr>
        <w:t>. Except in connection with a corporate transaction involving the Company (which term includes,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without limitation, any stock dividend, stock split, extraordinary cash dividend, recapitalization, reorganization, merger, consolidation, split-up, spin-off, combination or exchange of shares) or as otherwise contemplated by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8"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21"/>
          <w:szCs w:val="21"/>
          <w:color w:val="auto"/>
        </w:rPr>
        <w:t>the Company may not, without obtaining stockholder approval, (i) amend the terms of outstanding Stock Options or SARs to reduce the exercise price or base value of such Stock Options or SARs; (ii) cancel outstanding Stock Options or SARs in exchange for Stock Options or SARs that have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spacing w:after="0" w:line="166" w:lineRule="exact"/>
        <w:rPr>
          <w:sz w:val="20"/>
          <w:szCs w:val="20"/>
          <w:color w:val="auto"/>
        </w:rPr>
      </w:pPr>
    </w:p>
    <w:p>
      <w:pPr>
        <w:ind w:left="360" w:hanging="356"/>
        <w:spacing w:after="0"/>
        <w:tabs>
          <w:tab w:leader="none" w:pos="36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EFFECT OF CERTAIN TRANSACTIONS</w:t>
      </w:r>
    </w:p>
    <w:p>
      <w:pPr>
        <w:spacing w:after="0" w:line="211" w:lineRule="exact"/>
        <w:rPr>
          <w:rFonts w:ascii="Times New Roman" w:cs="Times New Roman" w:eastAsia="Times New Roman" w:hAnsi="Times New Roman"/>
          <w:sz w:val="21"/>
          <w:szCs w:val="21"/>
          <w:b w:val="1"/>
          <w:bCs w:val="1"/>
          <w:color w:val="auto"/>
        </w:rPr>
      </w:pPr>
    </w:p>
    <w:p>
      <w:pPr>
        <w:ind w:firstLine="625"/>
        <w:spacing w:after="0" w:line="275" w:lineRule="auto"/>
        <w:tabs>
          <w:tab w:leader="none" w:pos="1070"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Mergers, etc</w:t>
      </w:r>
      <w:r>
        <w:rPr>
          <w:rFonts w:ascii="Times New Roman" w:cs="Times New Roman" w:eastAsia="Times New Roman" w:hAnsi="Times New Roman"/>
          <w:sz w:val="21"/>
          <w:szCs w:val="21"/>
          <w:color w:val="auto"/>
        </w:rPr>
        <w:t>. Except as otherwise expressly provided in an Award agreement or other agreement or by the Administrator,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provisions will apply in the event of a Covered Transaction:</w:t>
      </w:r>
    </w:p>
    <w:p>
      <w:pPr>
        <w:spacing w:after="0" w:line="158" w:lineRule="exact"/>
        <w:rPr>
          <w:rFonts w:ascii="Times New Roman" w:cs="Times New Roman" w:eastAsia="Times New Roman" w:hAnsi="Times New Roman"/>
          <w:sz w:val="21"/>
          <w:szCs w:val="21"/>
          <w:b w:val="1"/>
          <w:bCs w:val="1"/>
          <w:color w:val="auto"/>
        </w:rPr>
      </w:pPr>
    </w:p>
    <w:p>
      <w:pPr>
        <w:jc w:val="both"/>
        <w:ind w:firstLine="1247"/>
        <w:spacing w:after="0" w:line="260" w:lineRule="auto"/>
        <w:tabs>
          <w:tab w:leader="none" w:pos="1698" w:val="left"/>
        </w:tabs>
        <w:numPr>
          <w:ilvl w:val="2"/>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Assumption or Substitution</w:t>
      </w:r>
      <w:r>
        <w:rPr>
          <w:rFonts w:ascii="Times New Roman" w:cs="Times New Roman" w:eastAsia="Times New Roman" w:hAnsi="Times New Roman"/>
          <w:sz w:val="21"/>
          <w:szCs w:val="21"/>
          <w:color w:val="auto"/>
        </w:rPr>
        <w:t>. If the Covered Transaction is one in which there is an acquiring or surviving entity,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Administrator may provide for (i) the assumption or continuation of some or all outstanding Awards or any portion thereof; or (ii) the grant of new awards in substitution therefor by the acquiror or survivor or an affiliate of the acquiror or survivor.</w:t>
      </w:r>
    </w:p>
    <w:p>
      <w:pPr>
        <w:spacing w:after="0" w:line="160" w:lineRule="exact"/>
        <w:rPr>
          <w:rFonts w:ascii="Times New Roman" w:cs="Times New Roman" w:eastAsia="Times New Roman" w:hAnsi="Times New Roman"/>
          <w:sz w:val="21"/>
          <w:szCs w:val="21"/>
          <w:b w:val="1"/>
          <w:bCs w:val="1"/>
          <w:color w:val="auto"/>
        </w:rPr>
      </w:pPr>
    </w:p>
    <w:p>
      <w:pPr>
        <w:jc w:val="both"/>
        <w:ind w:firstLine="1247"/>
        <w:spacing w:after="0" w:line="263" w:lineRule="auto"/>
        <w:tabs>
          <w:tab w:leader="none" w:pos="1778" w:val="left"/>
        </w:tabs>
        <w:numPr>
          <w:ilvl w:val="2"/>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Cash-Out of Awards</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7(a)(5)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the Administrator may provide for payment (a “</w:t>
      </w:r>
      <w:r>
        <w:rPr>
          <w:rFonts w:ascii="Times New Roman" w:cs="Times New Roman" w:eastAsia="Times New Roman" w:hAnsi="Times New Roman"/>
          <w:sz w:val="20"/>
          <w:szCs w:val="20"/>
          <w:u w:val="single" w:color="auto"/>
          <w:color w:val="auto"/>
        </w:rPr>
        <w:t>cash-out</w:t>
      </w:r>
      <w:r>
        <w:rPr>
          <w:rFonts w:ascii="Times New Roman" w:cs="Times New Roman" w:eastAsia="Times New Roman" w:hAnsi="Times New Roman"/>
          <w:sz w:val="20"/>
          <w:szCs w:val="20"/>
          <w:color w:val="auto"/>
        </w:rPr>
        <w:t xml:space="preserve">”), with respect to some or all Awards or any portion thereof (including only the vested portion thereof, with the unvested portion terminating without payment due as provided in </w:t>
      </w:r>
      <w:r>
        <w:rPr>
          <w:rFonts w:ascii="Times New Roman" w:cs="Times New Roman" w:eastAsia="Times New Roman" w:hAnsi="Times New Roman"/>
          <w:sz w:val="20"/>
          <w:szCs w:val="20"/>
          <w:u w:val="single" w:color="auto"/>
          <w:color w:val="auto"/>
        </w:rPr>
        <w:t>Section 7(a)(4)</w:t>
      </w:r>
      <w:r>
        <w:rPr>
          <w:rFonts w:ascii="Times New Roman" w:cs="Times New Roman" w:eastAsia="Times New Roman" w:hAnsi="Times New Roman"/>
          <w:sz w:val="20"/>
          <w:szCs w:val="20"/>
          <w:color w:val="auto"/>
        </w:rPr>
        <w:t xml:space="preserve"> below), equal in the case of each applicable Award or portion thereof to the excess, if any, of (i) the Fair Market Value of one (1) share of Stock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number of shares of Stock subject to the Award or such portion,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aggregate exercise or purchase price, if any, of such Award or such portion thereof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For the avoidance of doubt, if the per-share exercise or purchase price (or base value) of an Award or portion thereof is equal to or greater than the Fair Market Value of one (1) share of Stock, such Award or portion may be cancelled with no payment due hereunder or otherwise in respect thereof.</w:t>
      </w:r>
    </w:p>
    <w:p>
      <w:pPr>
        <w:spacing w:after="0" w:line="167" w:lineRule="exact"/>
        <w:rPr>
          <w:rFonts w:ascii="Times New Roman" w:cs="Times New Roman" w:eastAsia="Times New Roman" w:hAnsi="Times New Roman"/>
          <w:sz w:val="20"/>
          <w:szCs w:val="20"/>
          <w:b w:val="1"/>
          <w:bCs w:val="1"/>
          <w:color w:val="auto"/>
        </w:rPr>
      </w:pPr>
    </w:p>
    <w:p>
      <w:pPr>
        <w:jc w:val="both"/>
        <w:ind w:firstLine="1247"/>
        <w:spacing w:after="0" w:line="253" w:lineRule="auto"/>
        <w:tabs>
          <w:tab w:leader="none" w:pos="1681" w:val="left"/>
        </w:tabs>
        <w:numPr>
          <w:ilvl w:val="2"/>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Acceleration of Certain Awards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7(a)(5)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the Administrator may provide that any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the exercise of the Award or the delivery of the shares, as the case may be, to participate as a stockholder in the Covered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8" w:right="339" w:bottom="1440" w:gutter="0" w:footer="0" w:header="0"/>
        </w:sectPr>
      </w:pPr>
    </w:p>
    <w:bookmarkStart w:id="16" w:name="page17"/>
    <w:bookmarkEnd w:id="16"/>
    <w:p>
      <w:pPr>
        <w:jc w:val="both"/>
        <w:ind w:firstLine="1247"/>
        <w:spacing w:after="0" w:line="255" w:lineRule="auto"/>
        <w:tabs>
          <w:tab w:leader="none" w:pos="1844" w:val="left"/>
        </w:tabs>
        <w:numPr>
          <w:ilvl w:val="2"/>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Awards upon Consummation of Covered Transaction</w:t>
      </w:r>
      <w:r>
        <w:rPr>
          <w:rFonts w:ascii="Times New Roman" w:cs="Times New Roman" w:eastAsia="Times New Roman" w:hAnsi="Times New Roman"/>
          <w:sz w:val="21"/>
          <w:szCs w:val="21"/>
          <w:color w:val="auto"/>
        </w:rPr>
        <w:t>. Except as the Administrator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determine, each Award will automatically terminate (and in the case of outstanding shares of Restricted Stock, will automatically be forfeited) immediately upon the consummation of the Covered Transaction, other than (i) any Award that is assumed, continued or substituted for pursuant to </w:t>
      </w:r>
      <w:r>
        <w:rPr>
          <w:rFonts w:ascii="Times New Roman" w:cs="Times New Roman" w:eastAsia="Times New Roman" w:hAnsi="Times New Roman"/>
          <w:sz w:val="21"/>
          <w:szCs w:val="21"/>
          <w:u w:val="single" w:color="auto"/>
          <w:color w:val="auto"/>
        </w:rPr>
        <w:t>Section 7(a)(1)</w:t>
      </w:r>
      <w:r>
        <w:rPr>
          <w:rFonts w:ascii="Times New Roman" w:cs="Times New Roman" w:eastAsia="Times New Roman" w:hAnsi="Times New Roman"/>
          <w:sz w:val="21"/>
          <w:szCs w:val="21"/>
          <w:color w:val="auto"/>
        </w:rPr>
        <w:t xml:space="preserve"> above, and (ii) any Award that by its terms, or as a result of action taken by the Administrator, continues following the Covered Transaction.</w:t>
      </w:r>
    </w:p>
    <w:p>
      <w:pPr>
        <w:spacing w:after="0" w:line="167" w:lineRule="exact"/>
        <w:rPr>
          <w:rFonts w:ascii="Times New Roman" w:cs="Times New Roman" w:eastAsia="Times New Roman" w:hAnsi="Times New Roman"/>
          <w:sz w:val="21"/>
          <w:szCs w:val="21"/>
          <w:b w:val="1"/>
          <w:bCs w:val="1"/>
          <w:color w:val="auto"/>
        </w:rPr>
      </w:pPr>
    </w:p>
    <w:p>
      <w:pPr>
        <w:jc w:val="both"/>
        <w:ind w:firstLine="1247"/>
        <w:spacing w:after="0" w:line="264" w:lineRule="auto"/>
        <w:tabs>
          <w:tab w:leader="none" w:pos="1712" w:val="left"/>
        </w:tabs>
        <w:numPr>
          <w:ilvl w:val="2"/>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Additional Limitations. </w:t>
      </w:r>
      <w:r>
        <w:rPr>
          <w:rFonts w:ascii="Times New Roman" w:cs="Times New Roman" w:eastAsia="Times New Roman" w:hAnsi="Times New Roman"/>
          <w:sz w:val="20"/>
          <w:szCs w:val="20"/>
          <w:color w:val="auto"/>
        </w:rPr>
        <w:t>Any share of Stock and any cash or other property or other award delivered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7(a)(1)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7(a)(2)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7(a)(3)</w:t>
      </w:r>
      <w:r>
        <w:rPr>
          <w:rFonts w:ascii="Times New Roman" w:cs="Times New Roman" w:eastAsia="Times New Roman" w:hAnsi="Times New Roman"/>
          <w:sz w:val="20"/>
          <w:szCs w:val="20"/>
          <w:color w:val="auto"/>
        </w:rPr>
        <w:t xml:space="preserve"> above 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w:t>
      </w:r>
      <w:r>
        <w:rPr>
          <w:rFonts w:ascii="Times New Roman" w:cs="Times New Roman" w:eastAsia="Times New Roman" w:hAnsi="Times New Roman"/>
          <w:sz w:val="20"/>
          <w:szCs w:val="20"/>
          <w:u w:val="single" w:color="auto"/>
          <w:color w:val="auto"/>
        </w:rPr>
        <w:t>Section 7(a)(2)</w:t>
      </w:r>
      <w:r>
        <w:rPr>
          <w:rFonts w:ascii="Times New Roman" w:cs="Times New Roman" w:eastAsia="Times New Roman" w:hAnsi="Times New Roman"/>
          <w:sz w:val="20"/>
          <w:szCs w:val="20"/>
          <w:color w:val="auto"/>
        </w:rPr>
        <w:t xml:space="preserve"> above or an acceleration under </w:t>
      </w:r>
      <w:r>
        <w:rPr>
          <w:rFonts w:ascii="Times New Roman" w:cs="Times New Roman" w:eastAsia="Times New Roman" w:hAnsi="Times New Roman"/>
          <w:sz w:val="20"/>
          <w:szCs w:val="20"/>
          <w:u w:val="single" w:color="auto"/>
          <w:color w:val="auto"/>
        </w:rPr>
        <w:t>Section 7(a)(3)</w:t>
      </w:r>
      <w:r>
        <w:rPr>
          <w:rFonts w:ascii="Times New Roman" w:cs="Times New Roman" w:eastAsia="Times New Roman" w:hAnsi="Times New Roman"/>
          <w:sz w:val="20"/>
          <w:szCs w:val="20"/>
          <w:color w:val="auto"/>
        </w:rPr>
        <w:t xml:space="preserve">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70" w:lineRule="exact"/>
        <w:rPr>
          <w:rFonts w:ascii="Times New Roman" w:cs="Times New Roman" w:eastAsia="Times New Roman" w:hAnsi="Times New Roman"/>
          <w:sz w:val="20"/>
          <w:szCs w:val="20"/>
          <w:b w:val="1"/>
          <w:bCs w:val="1"/>
          <w:color w:val="auto"/>
        </w:rPr>
      </w:pPr>
    </w:p>
    <w:p>
      <w:pPr>
        <w:jc w:val="both"/>
        <w:ind w:firstLine="1247"/>
        <w:spacing w:after="0" w:line="260" w:lineRule="auto"/>
        <w:tabs>
          <w:tab w:leader="none" w:pos="1796" w:val="left"/>
        </w:tabs>
        <w:numPr>
          <w:ilvl w:val="2"/>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Uniform Treatment</w:t>
      </w:r>
      <w:r>
        <w:rPr>
          <w:rFonts w:ascii="Times New Roman" w:cs="Times New Roman" w:eastAsia="Times New Roman" w:hAnsi="Times New Roman"/>
          <w:sz w:val="21"/>
          <w:szCs w:val="21"/>
          <w:color w:val="auto"/>
        </w:rPr>
        <w:t>. For the avoidance of doubt, the Administrator need not treat Participants or Awards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portions thereof) in a uniform manner, and may treat different Participants and/or Awards differently, in connection with a Covered Transaction.</w:t>
      </w:r>
    </w:p>
    <w:p>
      <w:pPr>
        <w:spacing w:after="0" w:line="160" w:lineRule="exact"/>
        <w:rPr>
          <w:rFonts w:ascii="Times New Roman" w:cs="Times New Roman" w:eastAsia="Times New Roman" w:hAnsi="Times New Roman"/>
          <w:sz w:val="21"/>
          <w:szCs w:val="21"/>
          <w:b w:val="1"/>
          <w:bCs w:val="1"/>
          <w:color w:val="auto"/>
        </w:rPr>
      </w:pPr>
    </w:p>
    <w:p>
      <w:pPr>
        <w:ind w:left="1080" w:hanging="455"/>
        <w:spacing w:after="0"/>
        <w:tabs>
          <w:tab w:leader="none" w:pos="1080" w:val="left"/>
        </w:tabs>
        <w:numPr>
          <w:ilvl w:val="1"/>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Changes in and Distributions with Respect to Stock</w:t>
      </w:r>
    </w:p>
    <w:p>
      <w:pPr>
        <w:spacing w:after="0" w:line="211" w:lineRule="exact"/>
        <w:rPr>
          <w:rFonts w:ascii="Times New Roman" w:cs="Times New Roman" w:eastAsia="Times New Roman" w:hAnsi="Times New Roman"/>
          <w:sz w:val="21"/>
          <w:szCs w:val="21"/>
          <w:b w:val="1"/>
          <w:bCs w:val="1"/>
          <w:color w:val="auto"/>
        </w:rPr>
      </w:pPr>
    </w:p>
    <w:p>
      <w:pPr>
        <w:jc w:val="both"/>
        <w:ind w:firstLine="1247"/>
        <w:spacing w:after="0" w:line="253" w:lineRule="auto"/>
        <w:tabs>
          <w:tab w:leader="none" w:pos="1770" w:val="left"/>
        </w:tabs>
        <w:numPr>
          <w:ilvl w:val="2"/>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Basic Adjustment Provisions</w:t>
      </w:r>
      <w:r>
        <w:rPr>
          <w:rFonts w:ascii="Times New Roman" w:cs="Times New Roman" w:eastAsia="Times New Roman" w:hAnsi="Times New Roman"/>
          <w:sz w:val="21"/>
          <w:szCs w:val="21"/>
          <w:color w:val="auto"/>
        </w:rPr>
        <w:t>. In the event of any recapitalization, reclassification, stock dividend, stock split,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reverse stock split, liquidation, exchange of shares, spin-off, combination, consolidation or other similar transaction or other change in the Company’s capital structure that constitutes an equity restructuring within the meaning of the Accounting Rules, the Administrator shall make appropriate adjustments to the maximum number of shares of Stock specified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that may be delivered under the Plan, and shall make appropriate adjustments to the number and kind of shares of stock or securities underlying Awards then outstanding or subsequently granted, any exercise or purchase prices (or base values) relating to Awards and any other provision of Awards affected by such change.</w:t>
      </w:r>
    </w:p>
    <w:p>
      <w:pPr>
        <w:spacing w:after="0" w:line="173" w:lineRule="exact"/>
        <w:rPr>
          <w:rFonts w:ascii="Times New Roman" w:cs="Times New Roman" w:eastAsia="Times New Roman" w:hAnsi="Times New Roman"/>
          <w:sz w:val="21"/>
          <w:szCs w:val="21"/>
          <w:b w:val="1"/>
          <w:bCs w:val="1"/>
          <w:color w:val="auto"/>
        </w:rPr>
      </w:pPr>
    </w:p>
    <w:p>
      <w:pPr>
        <w:ind w:left="1700" w:hanging="453"/>
        <w:spacing w:after="0"/>
        <w:tabs>
          <w:tab w:leader="none" w:pos="1700" w:val="left"/>
        </w:tabs>
        <w:numPr>
          <w:ilvl w:val="2"/>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Other Adjustments</w:t>
      </w:r>
      <w:r>
        <w:rPr>
          <w:rFonts w:ascii="Times New Roman" w:cs="Times New Roman" w:eastAsia="Times New Roman" w:hAnsi="Times New Roman"/>
          <w:sz w:val="20"/>
          <w:szCs w:val="20"/>
          <w:color w:val="auto"/>
        </w:rPr>
        <w:t>. The Administrator may also make adjustments of the type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7(b)</w:t>
      </w:r>
    </w:p>
    <w:p>
      <w:pPr>
        <w:spacing w:after="0" w:line="42" w:lineRule="exact"/>
        <w:rPr>
          <w:rFonts w:ascii="Times New Roman" w:cs="Times New Roman" w:eastAsia="Times New Roman" w:hAnsi="Times New Roman"/>
          <w:sz w:val="20"/>
          <w:szCs w:val="20"/>
          <w:b w:val="1"/>
          <w:bCs w:val="1"/>
          <w:color w:val="auto"/>
        </w:rPr>
      </w:pPr>
    </w:p>
    <w:p>
      <w:pPr>
        <w:ind w:firstLine="4"/>
        <w:spacing w:after="0" w:line="249" w:lineRule="auto"/>
        <w:tabs>
          <w:tab w:leader="none" w:pos="315" w:val="left"/>
        </w:tabs>
        <w:numPr>
          <w:ilvl w:val="0"/>
          <w:numId w:val="2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above to take into account distributions to stockholders other than those provided for in </w:t>
      </w:r>
      <w:r>
        <w:rPr>
          <w:rFonts w:ascii="Times New Roman" w:cs="Times New Roman" w:eastAsia="Times New Roman" w:hAnsi="Times New Roman"/>
          <w:sz w:val="21"/>
          <w:szCs w:val="21"/>
          <w:u w:val="single" w:color="auto"/>
          <w:color w:val="auto"/>
        </w:rPr>
        <w:t>Sections 7(a)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7(b)(1)</w:t>
      </w:r>
      <w:r>
        <w:rPr>
          <w:rFonts w:ascii="Times New Roman" w:cs="Times New Roman" w:eastAsia="Times New Roman" w:hAnsi="Times New Roman"/>
          <w:sz w:val="21"/>
          <w:szCs w:val="21"/>
          <w:color w:val="auto"/>
        </w:rPr>
        <w:t>, or any other event, if the Administrator determines that adjustments are appropriate to avoid distortion in the operation of the Plan or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6" w:right="339" w:bottom="1440" w:gutter="0" w:footer="0" w:header="0"/>
        </w:sectPr>
      </w:pPr>
    </w:p>
    <w:bookmarkStart w:id="17" w:name="page18"/>
    <w:bookmarkEnd w:id="17"/>
    <w:p>
      <w:pPr>
        <w:ind w:firstLine="1247"/>
        <w:spacing w:after="0" w:line="275" w:lineRule="auto"/>
        <w:tabs>
          <w:tab w:leader="none" w:pos="1750"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Continuing Application of Plan Terms</w:t>
      </w:r>
      <w:r>
        <w:rPr>
          <w:rFonts w:ascii="Times New Roman" w:cs="Times New Roman" w:eastAsia="Times New Roman" w:hAnsi="Times New Roman"/>
          <w:sz w:val="21"/>
          <w:szCs w:val="21"/>
          <w:color w:val="auto"/>
        </w:rPr>
        <w:t>. References in the Plan to shares of Stock will be construed to include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stock or securities resulting from an adjustment pursuant to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b w:val="1"/>
          <w:bCs w:val="1"/>
          <w:color w:val="auto"/>
        </w:rPr>
      </w:pPr>
    </w:p>
    <w:p>
      <w:pPr>
        <w:ind w:left="360" w:hanging="356"/>
        <w:spacing w:after="0"/>
        <w:tabs>
          <w:tab w:leader="none" w:pos="360"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LEGAL CONDITIONS ON DELIVERY OF STOCK</w:t>
      </w:r>
    </w:p>
    <w:p>
      <w:pPr>
        <w:spacing w:after="0" w:line="227" w:lineRule="exact"/>
        <w:rPr>
          <w:sz w:val="20"/>
          <w:szCs w:val="20"/>
          <w:color w:val="auto"/>
        </w:rPr>
      </w:pPr>
    </w:p>
    <w:p>
      <w:pPr>
        <w:jc w:val="both"/>
        <w:ind w:firstLine="622"/>
        <w:spacing w:after="0" w:line="249" w:lineRule="auto"/>
        <w:rPr>
          <w:sz w:val="20"/>
          <w:szCs w:val="20"/>
          <w:color w:val="auto"/>
        </w:rPr>
      </w:pPr>
      <w:r>
        <w:rPr>
          <w:rFonts w:ascii="Times New Roman" w:cs="Times New Roman" w:eastAsia="Times New Roman" w:hAnsi="Times New Roman"/>
          <w:sz w:val="21"/>
          <w:szCs w:val="21"/>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of 1933, as amended, or any applicable state or non-U.S. securities law. Any Stock delivered to Participants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9.</w:t>
      </w:r>
      <w:r>
        <w:rPr>
          <w:sz w:val="20"/>
          <w:szCs w:val="20"/>
          <w:color w:val="auto"/>
        </w:rPr>
        <w:tab/>
      </w:r>
      <w:r>
        <w:rPr>
          <w:rFonts w:ascii="Times New Roman" w:cs="Times New Roman" w:eastAsia="Times New Roman" w:hAnsi="Times New Roman"/>
          <w:sz w:val="20"/>
          <w:szCs w:val="20"/>
          <w:b w:val="1"/>
          <w:bCs w:val="1"/>
          <w:color w:val="auto"/>
        </w:rPr>
        <w:t>AMENDMENT AND TERMINATION</w:t>
      </w:r>
    </w:p>
    <w:p>
      <w:pPr>
        <w:spacing w:after="0" w:line="214"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except as otherwise expressly provided in the Plan or the applicable Award, the Administrator may not, without the 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limiting the Administrator’s rights hereunder, no adjustment to any Award pursuant to the terms of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will be treated as an amendment requiring a Participant’s consent.</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OTHER COMPENSATION ARRANGEMENTS</w:t>
      </w:r>
    </w:p>
    <w:p>
      <w:pPr>
        <w:spacing w:after="0" w:line="214"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The existence of the Plan or the grant of any Award will not affect the right of the Company or any of its subsidiaries to grant any person bonuses or other compensation in addition to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6" w:right="339" w:bottom="1440" w:gutter="0" w:footer="0" w:header="0"/>
        </w:sectPr>
      </w:pPr>
    </w:p>
    <w:bookmarkStart w:id="18" w:name="page19"/>
    <w:bookmarkEnd w:id="18"/>
    <w:p>
      <w:pPr>
        <w:ind w:left="460" w:hanging="456"/>
        <w:spacing w:after="0"/>
        <w:tabs>
          <w:tab w:leader="none" w:pos="46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211" w:lineRule="exact"/>
        <w:rPr>
          <w:rFonts w:ascii="Times New Roman" w:cs="Times New Roman" w:eastAsia="Times New Roman" w:hAnsi="Times New Roman"/>
          <w:sz w:val="21"/>
          <w:szCs w:val="21"/>
          <w:b w:val="1"/>
          <w:bCs w:val="1"/>
          <w:color w:val="auto"/>
        </w:rPr>
      </w:pPr>
    </w:p>
    <w:p>
      <w:pPr>
        <w:jc w:val="both"/>
        <w:ind w:firstLine="625"/>
        <w:spacing w:after="0" w:line="250" w:lineRule="auto"/>
        <w:tabs>
          <w:tab w:leader="none" w:pos="1083" w:val="left"/>
        </w:tabs>
        <w:numPr>
          <w:ilvl w:val="1"/>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color w:val="auto"/>
        </w:rPr>
        <w:t>. By accepting or being deemed to have accepted an Award under the Plan, each Participant waives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72" w:lineRule="exact"/>
        <w:rPr>
          <w:rFonts w:ascii="Times New Roman" w:cs="Times New Roman" w:eastAsia="Times New Roman" w:hAnsi="Times New Roman"/>
          <w:sz w:val="21"/>
          <w:szCs w:val="21"/>
          <w:b w:val="1"/>
          <w:bCs w:val="1"/>
          <w:color w:val="auto"/>
        </w:rPr>
      </w:pPr>
    </w:p>
    <w:p>
      <w:pPr>
        <w:jc w:val="both"/>
        <w:ind w:firstLine="625"/>
        <w:spacing w:after="0" w:line="253" w:lineRule="auto"/>
        <w:tabs>
          <w:tab w:leader="none" w:pos="1134" w:val="left"/>
        </w:tabs>
        <w:numPr>
          <w:ilvl w:val="1"/>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Limitation of Liability</w:t>
      </w:r>
      <w:r>
        <w:rPr>
          <w:rFonts w:ascii="Times New Roman" w:cs="Times New Roman" w:eastAsia="Times New Roman" w:hAnsi="Times New Roman"/>
          <w:sz w:val="21"/>
          <w:szCs w:val="21"/>
          <w:color w:val="auto"/>
        </w:rPr>
        <w:t>. Notwithstanding anything to the contrary in the Plan or any Award, none of the Company, nor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w:t>
      </w:r>
    </w:p>
    <w:p>
      <w:pPr>
        <w:spacing w:after="0" w:line="169" w:lineRule="exact"/>
        <w:rPr>
          <w:rFonts w:ascii="Times New Roman" w:cs="Times New Roman" w:eastAsia="Times New Roman" w:hAnsi="Times New Roman"/>
          <w:sz w:val="21"/>
          <w:szCs w:val="21"/>
          <w:b w:val="1"/>
          <w:bCs w:val="1"/>
          <w:color w:val="auto"/>
        </w:rPr>
      </w:pPr>
    </w:p>
    <w:p>
      <w:pPr>
        <w:jc w:val="both"/>
        <w:ind w:firstLine="625"/>
        <w:spacing w:after="0" w:line="266" w:lineRule="auto"/>
        <w:tabs>
          <w:tab w:leader="none" w:pos="1175" w:val="left"/>
        </w:tabs>
        <w:numPr>
          <w:ilvl w:val="1"/>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Unfunded Plan</w:t>
      </w:r>
      <w:r>
        <w:rPr>
          <w:rFonts w:ascii="Times New Roman" w:cs="Times New Roman" w:eastAsia="Times New Roman" w:hAnsi="Times New Roman"/>
          <w:sz w:val="21"/>
          <w:szCs w:val="21"/>
          <w:color w:val="auto"/>
        </w:rPr>
        <w:t>. The Company’s obligations under the Plan are unfunded, and no Participant will have any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specific assets of the Company in respect of any Award. Participants will be general unsecured creditors of the Company with respect to any amounts due or payable under the Plan.</w:t>
      </w:r>
    </w:p>
    <w:p>
      <w:pPr>
        <w:spacing w:after="0" w:line="155" w:lineRule="exact"/>
        <w:rPr>
          <w:rFonts w:ascii="Times New Roman" w:cs="Times New Roman" w:eastAsia="Times New Roman" w:hAnsi="Times New Roman"/>
          <w:sz w:val="21"/>
          <w:szCs w:val="21"/>
          <w:b w:val="1"/>
          <w:bCs w:val="1"/>
          <w:color w:val="auto"/>
        </w:rPr>
      </w:pPr>
    </w:p>
    <w:p>
      <w:pPr>
        <w:ind w:left="460" w:hanging="456"/>
        <w:spacing w:after="0"/>
        <w:tabs>
          <w:tab w:leader="none" w:pos="460"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ESTABLISHMENT OF SUB-PLANS</w:t>
      </w:r>
    </w:p>
    <w:p>
      <w:pPr>
        <w:spacing w:after="0" w:line="214" w:lineRule="exact"/>
        <w:rPr>
          <w:sz w:val="20"/>
          <w:szCs w:val="20"/>
          <w:color w:val="auto"/>
        </w:rPr>
      </w:pPr>
    </w:p>
    <w:p>
      <w:pPr>
        <w:jc w:val="both"/>
        <w:ind w:firstLine="622"/>
        <w:spacing w:after="0" w:line="250" w:lineRule="auto"/>
        <w:rPr>
          <w:sz w:val="20"/>
          <w:szCs w:val="20"/>
          <w:color w:val="auto"/>
        </w:rPr>
      </w:pPr>
      <w:r>
        <w:rPr>
          <w:rFonts w:ascii="Times New Roman" w:cs="Times New Roman" w:eastAsia="Times New Roman" w:hAnsi="Times New Roman"/>
          <w:sz w:val="21"/>
          <w:szCs w:val="21"/>
          <w:color w:val="auto"/>
        </w:rPr>
        <w:t>The Administrator may at any time and from time to time (including before or after an Award is granted) establish, adopt or revise any rules and regulations as it may deem necessary or advisable to administer the Plan for Participants based outside of the U.S. and/or subject to the laws of countries other than the U.S., including by establishing one or more sub-plans, supplements or appendices under the Plan or any Award agreement for the purpose of complying or facilitating compliance with non-U.S. laws or taking advantage of tax favorable treatment or for any other legal or administrative reason determined by the Administrator. Any such sub-plan, supplement or appendix may contain (i) such limitations on the Administrator’s discretion under the Plan and (ii) such additional or different terms and conditions, in each case, as the Administrator deems necessary or desirable, and will be deemed to be part of the Plan but will apply only to Participants within the group to which the sub-plan, supplement or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6" w:right="339" w:bottom="1440" w:gutter="0" w:footer="0" w:header="0"/>
        </w:sectPr>
      </w:pPr>
    </w:p>
    <w:bookmarkStart w:id="19" w:name="page20"/>
    <w:bookmarkEnd w:id="19"/>
    <w:p>
      <w:pPr>
        <w:spacing w:after="0" w:line="275" w:lineRule="auto"/>
        <w:rPr>
          <w:sz w:val="20"/>
          <w:szCs w:val="20"/>
          <w:color w:val="auto"/>
        </w:rPr>
      </w:pPr>
      <w:r>
        <w:rPr>
          <w:rFonts w:ascii="Times New Roman" w:cs="Times New Roman" w:eastAsia="Times New Roman" w:hAnsi="Times New Roman"/>
          <w:sz w:val="21"/>
          <w:szCs w:val="21"/>
          <w:color w:val="auto"/>
        </w:rPr>
        <w:t xml:space="preserve">applies (as determined by the Administrator);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sub-plan, supplement, appendix, rule or regulation established pursuant to this provision shall increase the Share Pool.</w:t>
      </w:r>
    </w:p>
    <w:p>
      <w:pPr>
        <w:spacing w:after="0" w:line="146" w:lineRule="exact"/>
        <w:rPr>
          <w:sz w:val="20"/>
          <w:szCs w:val="20"/>
          <w:color w:val="auto"/>
        </w:rPr>
      </w:pPr>
    </w:p>
    <w:p>
      <w:pPr>
        <w:ind w:left="460" w:hanging="456"/>
        <w:spacing w:after="0"/>
        <w:tabs>
          <w:tab w:leader="none" w:pos="460"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w:t>
      </w:r>
    </w:p>
    <w:p>
      <w:pPr>
        <w:spacing w:after="0" w:line="224" w:lineRule="exact"/>
        <w:rPr>
          <w:rFonts w:ascii="Times New Roman" w:cs="Times New Roman" w:eastAsia="Times New Roman" w:hAnsi="Times New Roman"/>
          <w:sz w:val="21"/>
          <w:szCs w:val="21"/>
          <w:b w:val="1"/>
          <w:bCs w:val="1"/>
          <w:color w:val="auto"/>
        </w:rPr>
      </w:pPr>
    </w:p>
    <w:p>
      <w:pPr>
        <w:jc w:val="both"/>
        <w:ind w:firstLine="625"/>
        <w:spacing w:after="0" w:line="254" w:lineRule="auto"/>
        <w:tabs>
          <w:tab w:leader="none" w:pos="1226" w:val="left"/>
        </w:tabs>
        <w:numPr>
          <w:ilvl w:val="1"/>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Certain Requirements of Corporate Law</w:t>
      </w:r>
      <w:r>
        <w:rPr>
          <w:rFonts w:ascii="Times New Roman" w:cs="Times New Roman" w:eastAsia="Times New Roman" w:hAnsi="Times New Roman"/>
          <w:sz w:val="21"/>
          <w:szCs w:val="21"/>
          <w:color w:val="auto"/>
        </w:rPr>
        <w:t>. Awards and shares of Stock will be granted, issued and administered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69" w:lineRule="exact"/>
        <w:rPr>
          <w:rFonts w:ascii="Times New Roman" w:cs="Times New Roman" w:eastAsia="Times New Roman" w:hAnsi="Times New Roman"/>
          <w:sz w:val="21"/>
          <w:szCs w:val="21"/>
          <w:b w:val="1"/>
          <w:bCs w:val="1"/>
          <w:color w:val="auto"/>
        </w:rPr>
      </w:pPr>
    </w:p>
    <w:p>
      <w:pPr>
        <w:jc w:val="both"/>
        <w:ind w:firstLine="625"/>
        <w:spacing w:after="0" w:line="255" w:lineRule="auto"/>
        <w:tabs>
          <w:tab w:leader="none" w:pos="1082" w:val="left"/>
        </w:tabs>
        <w:numPr>
          <w:ilvl w:val="1"/>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Other Matters</w:t>
      </w:r>
      <w:r>
        <w:rPr>
          <w:rFonts w:ascii="Times New Roman" w:cs="Times New Roman" w:eastAsia="Times New Roman" w:hAnsi="Times New Roman"/>
          <w:sz w:val="21"/>
          <w:szCs w:val="21"/>
          <w:color w:val="auto"/>
        </w:rPr>
        <w:t>. Except as otherwise provided by the express terms of an Award agreement, under a sub-plan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or as provided in </w:t>
      </w:r>
      <w:r>
        <w:rPr>
          <w:rFonts w:ascii="Times New Roman" w:cs="Times New Roman" w:eastAsia="Times New Roman" w:hAnsi="Times New Roman"/>
          <w:sz w:val="21"/>
          <w:szCs w:val="21"/>
          <w:u w:val="single" w:color="auto"/>
          <w:color w:val="auto"/>
        </w:rPr>
        <w:t>Section 13(a)</w:t>
      </w:r>
      <w:r>
        <w:rPr>
          <w:rFonts w:ascii="Times New Roman" w:cs="Times New Roman" w:eastAsia="Times New Roman" w:hAnsi="Times New Roman"/>
          <w:sz w:val="21"/>
          <w:szCs w:val="21"/>
          <w:color w:val="auto"/>
        </w:rPr>
        <w:t xml:space="preserve"> above, the domestic substantive laws of the State of Delaware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spacing w:after="0" w:line="167" w:lineRule="exact"/>
        <w:rPr>
          <w:rFonts w:ascii="Times New Roman" w:cs="Times New Roman" w:eastAsia="Times New Roman" w:hAnsi="Times New Roman"/>
          <w:sz w:val="21"/>
          <w:szCs w:val="21"/>
          <w:b w:val="1"/>
          <w:bCs w:val="1"/>
          <w:color w:val="auto"/>
        </w:rPr>
      </w:pPr>
    </w:p>
    <w:p>
      <w:pPr>
        <w:jc w:val="both"/>
        <w:ind w:firstLine="625"/>
        <w:spacing w:after="0" w:line="264" w:lineRule="auto"/>
        <w:tabs>
          <w:tab w:leader="none" w:pos="1085"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Jurisdiction</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except as may be expressly set forth in an Award agreement, by accepting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being deemed to have accepted) an Award, each Participant agrees or will be deemed to have agreed to (i) submit irrevocably and unconditionally to the jurisdiction of the federal and state courts located within the geographic boundaries of the United States District Court for the District of Delaware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District of Delaware; and (iii) waive, and not assert, by way of motion as a defense or otherwise, in any such suit, action or proceeding, any claim that the Participant is not subject personally to the jurisdiction of the above-named courts that the Participant’s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373" w:lineRule="exact"/>
        <w:rPr>
          <w:sz w:val="20"/>
          <w:szCs w:val="20"/>
          <w:color w:val="auto"/>
        </w:rPr>
      </w:pPr>
    </w:p>
    <w:p>
      <w:pPr>
        <w:jc w:val="center"/>
        <w:spacing w:after="0"/>
        <w:tabs>
          <w:tab w:leader="none" w:pos="140" w:val="left"/>
          <w:tab w:leader="none" w:pos="120" w:val="left"/>
          <w:tab w:leader="none" w:pos="140" w:val="left"/>
        </w:tabs>
        <w:rPr>
          <w:sz w:val="20"/>
          <w:szCs w:val="20"/>
          <w:color w:val="auto"/>
        </w:rPr>
      </w:pPr>
      <w:r>
        <w:rPr>
          <w:rFonts w:ascii="Times New Roman" w:cs="Times New Roman" w:eastAsia="Times New Roman" w:hAnsi="Times New Roman"/>
          <w:sz w:val="21"/>
          <w:szCs w:val="21"/>
          <w:color w:val="auto"/>
        </w:rPr>
        <w:t xml:space="preserve">* </w:t>
        <w:tab/>
        <w:t xml:space="preserve">* </w:t>
        <w:tab/>
        <w:t xml:space="preserve">* </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6" w:right="339" w:bottom="1440" w:gutter="0" w:footer="0" w:header="0"/>
        </w:sectPr>
      </w:pPr>
    </w:p>
    <w:bookmarkStart w:id="20" w:name="page21"/>
    <w:bookmarkEnd w:id="20"/>
    <w:p>
      <w:pPr>
        <w:ind w:left="508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 of Terms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following terms, when used in the Plan, have the meanings and are subject to the provisions set forth below:</w:t>
      </w:r>
    </w:p>
    <w:p>
      <w:pPr>
        <w:spacing w:after="0" w:line="22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Rules</w:t>
      </w:r>
      <w:r>
        <w:rPr>
          <w:rFonts w:ascii="Times New Roman" w:cs="Times New Roman" w:eastAsia="Times New Roman" w:hAnsi="Times New Roman"/>
          <w:sz w:val="21"/>
          <w:szCs w:val="21"/>
          <w:color w:val="auto"/>
        </w:rPr>
        <w:t>”: Financial Accounting Standards Board Accounting Standards Codification Topic 718, or any successor provision.</w:t>
      </w:r>
    </w:p>
    <w:p>
      <w:pPr>
        <w:spacing w:after="0" w:line="150"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The Compensation Committee, except that the Board may at any time act in the capacity of the Administrator (including with respect to such matters that are not delegated to the Compensation Committee by the Board (whether pursuant to committee charter or otherwise), if applicable).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(ii) to one or more officers or other Employees of the Company the power to grant Awards to the extent permitted by Section 152 or 157(c) of the Delaware General Corporation Law; and</w:t>
      </w:r>
    </w:p>
    <w:p>
      <w:pPr>
        <w:spacing w:after="0" w:line="1" w:lineRule="exact"/>
        <w:rPr>
          <w:sz w:val="20"/>
          <w:szCs w:val="20"/>
          <w:color w:val="auto"/>
        </w:rPr>
      </w:pPr>
    </w:p>
    <w:p>
      <w:pPr>
        <w:jc w:val="both"/>
        <w:ind w:firstLine="4"/>
        <w:spacing w:after="0" w:line="247" w:lineRule="auto"/>
        <w:tabs>
          <w:tab w:leader="none" w:pos="37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Any or a combination of the following:</w:t>
      </w:r>
    </w:p>
    <w:p>
      <w:pPr>
        <w:spacing w:after="0" w:line="212" w:lineRule="exact"/>
        <w:rPr>
          <w:sz w:val="20"/>
          <w:szCs w:val="20"/>
          <w:color w:val="auto"/>
        </w:rPr>
      </w:pPr>
    </w:p>
    <w:p>
      <w:pPr>
        <w:ind w:left="1640" w:hanging="393"/>
        <w:spacing w:after="0"/>
        <w:tabs>
          <w:tab w:leader="none" w:pos="16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Options.</w:t>
      </w:r>
    </w:p>
    <w:p>
      <w:pPr>
        <w:spacing w:after="0" w:line="211" w:lineRule="exact"/>
        <w:rPr>
          <w:rFonts w:ascii="Times New Roman" w:cs="Times New Roman" w:eastAsia="Times New Roman" w:hAnsi="Times New Roman"/>
          <w:sz w:val="21"/>
          <w:szCs w:val="21"/>
          <w:color w:val="auto"/>
        </w:rPr>
      </w:pPr>
    </w:p>
    <w:p>
      <w:pPr>
        <w:ind w:left="1700" w:hanging="453"/>
        <w:spacing w:after="0"/>
        <w:tabs>
          <w:tab w:leader="none" w:pos="17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SARs.</w:t>
      </w:r>
    </w:p>
    <w:p>
      <w:pPr>
        <w:spacing w:after="0" w:line="211" w:lineRule="exact"/>
        <w:rPr>
          <w:rFonts w:ascii="Times New Roman" w:cs="Times New Roman" w:eastAsia="Times New Roman" w:hAnsi="Times New Roman"/>
          <w:sz w:val="21"/>
          <w:szCs w:val="21"/>
          <w:color w:val="auto"/>
        </w:rPr>
      </w:pPr>
    </w:p>
    <w:p>
      <w:pPr>
        <w:ind w:left="1760" w:hanging="513"/>
        <w:spacing w:after="0"/>
        <w:tabs>
          <w:tab w:leader="none" w:pos="1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w:t>
      </w:r>
    </w:p>
    <w:p>
      <w:pPr>
        <w:spacing w:after="0" w:line="211" w:lineRule="exact"/>
        <w:rPr>
          <w:rFonts w:ascii="Times New Roman" w:cs="Times New Roman" w:eastAsia="Times New Roman" w:hAnsi="Times New Roman"/>
          <w:sz w:val="21"/>
          <w:szCs w:val="21"/>
          <w:color w:val="auto"/>
        </w:rPr>
      </w:pPr>
    </w:p>
    <w:p>
      <w:pPr>
        <w:ind w:left="1760" w:hanging="513"/>
        <w:spacing w:after="0"/>
        <w:tabs>
          <w:tab w:leader="none" w:pos="1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Unrestricted Stock.</w:t>
      </w:r>
    </w:p>
    <w:p>
      <w:pPr>
        <w:spacing w:after="0" w:line="224" w:lineRule="exact"/>
        <w:rPr>
          <w:rFonts w:ascii="Times New Roman" w:cs="Times New Roman" w:eastAsia="Times New Roman" w:hAnsi="Times New Roman"/>
          <w:sz w:val="21"/>
          <w:szCs w:val="21"/>
          <w:color w:val="auto"/>
        </w:rPr>
      </w:pPr>
    </w:p>
    <w:p>
      <w:pPr>
        <w:ind w:left="1700" w:hanging="453"/>
        <w:spacing w:after="0"/>
        <w:tabs>
          <w:tab w:leader="none" w:pos="17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Units, including Restricted Stock Units.</w:t>
      </w:r>
    </w:p>
    <w:p>
      <w:pPr>
        <w:spacing w:after="0" w:line="211" w:lineRule="exact"/>
        <w:rPr>
          <w:rFonts w:ascii="Times New Roman" w:cs="Times New Roman" w:eastAsia="Times New Roman" w:hAnsi="Times New Roman"/>
          <w:sz w:val="21"/>
          <w:szCs w:val="21"/>
          <w:color w:val="auto"/>
        </w:rPr>
      </w:pPr>
    </w:p>
    <w:p>
      <w:pPr>
        <w:ind w:left="1760" w:hanging="513"/>
        <w:spacing w:after="0"/>
        <w:tabs>
          <w:tab w:leader="none" w:pos="17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Awards.</w:t>
      </w:r>
    </w:p>
    <w:p>
      <w:pPr>
        <w:spacing w:after="0" w:line="211" w:lineRule="exact"/>
        <w:rPr>
          <w:rFonts w:ascii="Times New Roman" w:cs="Times New Roman" w:eastAsia="Times New Roman" w:hAnsi="Times New Roman"/>
          <w:sz w:val="21"/>
          <w:szCs w:val="21"/>
          <w:color w:val="auto"/>
        </w:rPr>
      </w:pPr>
    </w:p>
    <w:p>
      <w:pPr>
        <w:ind w:left="1860" w:hanging="613"/>
        <w:spacing w:after="0"/>
        <w:tabs>
          <w:tab w:leader="none" w:pos="18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(other than Awards described in (i) through (vi) above) that are convertible into or otherwise based on</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Stock.</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board of directors of the Company.</w:t>
      </w:r>
    </w:p>
    <w:p>
      <w:pPr>
        <w:spacing w:after="0" w:line="225" w:lineRule="exact"/>
        <w:rPr>
          <w:sz w:val="20"/>
          <w:szCs w:val="20"/>
          <w:color w:val="auto"/>
        </w:rPr>
      </w:pPr>
    </w:p>
    <w:p>
      <w:pPr>
        <w:jc w:val="both"/>
        <w:ind w:firstLine="622"/>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In the case of any Participant who is subject to an effective employment, change of control or severance benefit agreement with the Company (or one of its subsidiaries) containing a definition of “Cause”, the definition of “Cause” as provided for in such agreement; and with respect to any other Participant, (i) the Participant’s commission of (A) a felony or (B) a crime involving dishonesty or moral turpitude, (ii) the Participant’s commission of any act of</w:t>
      </w:r>
    </w:p>
    <w:p>
      <w:pPr>
        <w:sectPr>
          <w:pgSz w:w="11900" w:h="16838" w:orient="portrait"/>
          <w:cols w:equalWidth="0" w:num="1">
            <w:col w:w="11240"/>
          </w:cols>
          <w:pgMar w:left="320" w:top="1366" w:right="33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21"/>
          <w:szCs w:val="21"/>
          <w:color w:val="auto"/>
        </w:rPr>
        <w:t>fraud, or embezzlement, theft, or dishonesty or intentional misappropriation of the property of the Company or any of its subsidiaries or of any customer or supplier of the Company or any of its subsidiaries, (iii) the Participant’s repeated use of illegal drugs or repeated abuse of alcohol that materially impairs the Participant’s ability to perform the Participant’s duties, (iv) the Participant’s material breach of any agreement with the Company or any of its subsidiaries, or a material violation of any of the Company’s or any of its subsidiaries’ written policies or procedures, or (v) any other willful misconduct or gross negligence in the performance of the Participant’s duties to the Company or any of its subsidiaries that could reasonably be expected to cause injury (including by way of reputational harm or other damages) to the Company or any of its subsidiaries.</w:t>
      </w:r>
    </w:p>
    <w:p>
      <w:pPr>
        <w:spacing w:after="0" w:line="175" w:lineRule="exact"/>
        <w:rPr>
          <w:sz w:val="20"/>
          <w:szCs w:val="20"/>
          <w:color w:val="auto"/>
        </w:rPr>
      </w:pPr>
    </w:p>
    <w:p>
      <w:pPr>
        <w:jc w:val="both"/>
        <w:ind w:firstLine="622"/>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U.S. Internal Revenue Code of 1986, as from time to time amended and in effect, or any successor statute as from time to time in effect, including any applicable regulations and guidance thereunder.</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Veradermics, Incorporated, a Delaware corporation.</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The compensation committee of the Board.</w:t>
      </w:r>
    </w:p>
    <w:p>
      <w:pPr>
        <w:spacing w:after="0" w:line="212" w:lineRule="exact"/>
        <w:rPr>
          <w:sz w:val="20"/>
          <w:szCs w:val="20"/>
          <w:color w:val="auto"/>
        </w:rPr>
      </w:pPr>
    </w:p>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Transaction</w:t>
      </w:r>
      <w:r>
        <w:rPr>
          <w:rFonts w:ascii="Times New Roman" w:cs="Times New Roman" w:eastAsia="Times New Roman" w:hAnsi="Times New Roman"/>
          <w:sz w:val="21"/>
          <w:szCs w:val="21"/>
          <w:color w:val="auto"/>
        </w:rPr>
        <w:t>”: Any of (i) a consolidation, merger or similar transaction or series of related transactions, including a sale or other disposition of stock, in which the Company is not the surviving entity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75" w:lineRule="exact"/>
        <w:rPr>
          <w:sz w:val="20"/>
          <w:szCs w:val="20"/>
          <w:color w:val="auto"/>
        </w:rPr>
      </w:pPr>
    </w:p>
    <w:p>
      <w:pPr>
        <w:jc w:val="both"/>
        <w:ind w:firstLine="622"/>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Adoption</w:t>
      </w:r>
      <w:r>
        <w:rPr>
          <w:rFonts w:ascii="Times New Roman" w:cs="Times New Roman" w:eastAsia="Times New Roman" w:hAnsi="Times New Roman"/>
          <w:sz w:val="21"/>
          <w:szCs w:val="21"/>
          <w:color w:val="auto"/>
        </w:rPr>
        <w:t>”: The earlier of the date the Plan was approved by the Company’s stockholders or adopted by the Board, as determined by the Compensation Committee.</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A member of the Board who is not an Employee.</w:t>
      </w:r>
    </w:p>
    <w:p>
      <w:pPr>
        <w:spacing w:after="0" w:line="212" w:lineRule="exact"/>
        <w:rPr>
          <w:sz w:val="20"/>
          <w:szCs w:val="20"/>
          <w:color w:val="auto"/>
        </w:rPr>
      </w:pPr>
    </w:p>
    <w:p>
      <w:pPr>
        <w:jc w:val="both"/>
        <w:ind w:firstLine="622"/>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In the case of any Participant who is subject to an effective employment agreement with the Company (or one of its subsidiaries) that contains a definition of “Disability” (or a corollary term), the definition set forth in such agreement applies with respect to such Participant for purposes of the Plan for so long as such agreement is in effect. In every other case, “Disability” means, as determined by the Administrator, absence from work due to a disability for a period in excess of ninety (90) days in any twelve (12)-month period that would entitle the Participant to receive benefits under the Company’s long-term disability program as in effect from time to time (if the Participant were a participant in such program).</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Any person who is employed by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68" w:right="339" w:bottom="1440" w:gutter="0" w:footer="0" w:header="0"/>
        </w:sectPr>
      </w:pPr>
    </w:p>
    <w:bookmarkStart w:id="22" w:name="page23"/>
    <w:bookmarkEnd w:id="22"/>
    <w:p>
      <w:pPr>
        <w:jc w:val="both"/>
        <w:ind w:firstLine="622"/>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 xml:space="preserve">”: A Participant’s employment or other service relationship with the Company or any of its subsidiaries. Employment will be deemed to continue, unless the Administrator otherwise determines at the time of grant or anytime thereafter, so long as the Participant is employed by, or otherwise is providing services in a capacity described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to, the Company or any of its subsidiaries.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 Securities Exchange Act of 1934, as amended.</w:t>
      </w:r>
    </w:p>
    <w:p>
      <w:pPr>
        <w:spacing w:after="0" w:line="212" w:lineRule="exact"/>
        <w:rPr>
          <w:sz w:val="20"/>
          <w:szCs w:val="20"/>
          <w:color w:val="auto"/>
        </w:rPr>
      </w:pPr>
    </w:p>
    <w:p>
      <w:pPr>
        <w:jc w:val="both"/>
        <w:ind w:firstLine="622"/>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As of a particular date, (i) the closing price for a share of Stock reported on the New York Stock Exchange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to the extent applicable.</w:t>
      </w:r>
    </w:p>
    <w:p>
      <w:pPr>
        <w:spacing w:after="0" w:line="168"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ISO</w:t>
      </w:r>
      <w:r>
        <w:rPr>
          <w:rFonts w:ascii="Times New Roman" w:cs="Times New Roman" w:eastAsia="Times New Roman" w:hAnsi="Times New Roman"/>
          <w:sz w:val="21"/>
          <w:szCs w:val="21"/>
          <w:color w:val="auto"/>
        </w:rPr>
        <w:t>”: A Stock Option intended to be an “incentive stock option” within the meaning of Section 422. Each Stock Option granted pursuant to the Plan will be treated as providing by its terms that it is to be an NSO unless, as of the date of grant, it is expressly designated as an ISO in the applicable Award agreement.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NSO</w:t>
      </w:r>
      <w:r>
        <w:rPr>
          <w:rFonts w:ascii="Times New Roman" w:cs="Times New Roman" w:eastAsia="Times New Roman" w:hAnsi="Times New Roman"/>
          <w:sz w:val="21"/>
          <w:szCs w:val="21"/>
          <w:color w:val="auto"/>
        </w:rPr>
        <w:t>”: A Stock Option that is not intended to be an “incentive stock option” within the meaning of Section 422.</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A person who is granted an Award under the Plan.</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Award</w:t>
      </w:r>
      <w:r>
        <w:rPr>
          <w:rFonts w:ascii="Times New Roman" w:cs="Times New Roman" w:eastAsia="Times New Roman" w:hAnsi="Times New Roman"/>
          <w:sz w:val="21"/>
          <w:szCs w:val="21"/>
          <w:color w:val="auto"/>
        </w:rPr>
        <w:t>”: An Award subject to performance vesting conditions, which may include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368" w:right="339" w:bottom="1440" w:gutter="0" w:footer="0" w:header="0"/>
        </w:sectPr>
      </w:pPr>
    </w:p>
    <w:bookmarkStart w:id="23" w:name="page24"/>
    <w:bookmarkEnd w:id="23"/>
    <w:p>
      <w:pPr>
        <w:jc w:val="both"/>
        <w:ind w:firstLine="622"/>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Specified criteria, other than the mere continuation of Employment or the mere passage of time, the satisfaction of which is a condition for the grant, exercisability, vesting or settlement of an Award. A Performance Criterion and any targets with respect may be applied to a Participant individually, or to a business unit or division of the Company or to the Company as a whole. A Performance Criterion may also be based on individual performance and/or subjective performance criteria (or any combination of any of the criteria described in this definition).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Veradermics, Incorporated 2026 Equity Incentive Plan, as from time to time amended and in effect.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Prior Plan</w:t>
      </w:r>
      <w:r>
        <w:rPr>
          <w:rFonts w:ascii="Times New Roman" w:cs="Times New Roman" w:eastAsia="Times New Roman" w:hAnsi="Times New Roman"/>
          <w:sz w:val="21"/>
          <w:szCs w:val="21"/>
          <w:color w:val="auto"/>
        </w:rPr>
        <w:t>”: The Veradermics, Incorporated 2021 Stock Plan, as amended.</w:t>
      </w:r>
    </w:p>
    <w:p>
      <w:pPr>
        <w:spacing w:after="0" w:line="21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Stock subject to restrictions requiring that it be forfeited, redelivered or offered for sale to the Company if specified performance or other vesting conditions are not satisfied.</w:t>
      </w:r>
    </w:p>
    <w:p>
      <w:pPr>
        <w:spacing w:after="0" w:line="150"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1"/>
          <w:szCs w:val="21"/>
          <w:color w:val="auto"/>
        </w:rPr>
        <w:t>”: A Stock Unit that is, or as to which the delivery of Stock or of cash in lieu of Stock is, subject to the satisfaction of specified performance or other vesting conditions.</w:t>
      </w:r>
    </w:p>
    <w:p>
      <w:pPr>
        <w:spacing w:after="0" w:line="150" w:lineRule="exact"/>
        <w:rPr>
          <w:sz w:val="20"/>
          <w:szCs w:val="20"/>
          <w:color w:val="auto"/>
        </w:rPr>
      </w:pPr>
    </w:p>
    <w:p>
      <w:pPr>
        <w:jc w:val="both"/>
        <w:ind w:firstLine="622"/>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SAR</w:t>
      </w:r>
      <w:r>
        <w:rPr>
          <w:rFonts w:ascii="Times New Roman" w:cs="Times New Roman" w:eastAsia="Times New Roman" w:hAnsi="Times New Roman"/>
          <w:sz w:val="21"/>
          <w:szCs w:val="21"/>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Section 409A of the Code and the regulations thereunder.</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422</w:t>
      </w:r>
      <w:r>
        <w:rPr>
          <w:rFonts w:ascii="Times New Roman" w:cs="Times New Roman" w:eastAsia="Times New Roman" w:hAnsi="Times New Roman"/>
          <w:sz w:val="21"/>
          <w:szCs w:val="21"/>
          <w:color w:val="auto"/>
        </w:rPr>
        <w:t>”: Section 422 of the Code and the regulations thereunder.</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Common stock of the Company, par value $0.00001 per share.</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An option entitling the holder to acquire shares of Stock upon payment of the exercise price.</w:t>
      </w:r>
    </w:p>
    <w:p>
      <w:pPr>
        <w:spacing w:after="0" w:line="21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Unit</w:t>
      </w:r>
      <w:r>
        <w:rPr>
          <w:rFonts w:ascii="Times New Roman" w:cs="Times New Roman" w:eastAsia="Times New Roman" w:hAnsi="Times New Roman"/>
          <w:sz w:val="21"/>
          <w:szCs w:val="21"/>
          <w:color w:val="auto"/>
        </w:rPr>
        <w:t>”: An unfunded and unsecured promise, denominated in shares of Stock, to deliver Stock or cash measured by the value of Stock in the future.</w:t>
      </w:r>
    </w:p>
    <w:p>
      <w:pPr>
        <w:spacing w:after="0" w:line="150"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Awards granted under the Plan in substitution for one or more equity awards of an acquired company that are converted, replaced or adjusted in connection with the acquisition.</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Stock</w:t>
      </w:r>
      <w:r>
        <w:rPr>
          <w:rFonts w:ascii="Times New Roman" w:cs="Times New Roman" w:eastAsia="Times New Roman" w:hAnsi="Times New Roman"/>
          <w:sz w:val="21"/>
          <w:szCs w:val="21"/>
          <w:color w:val="auto"/>
        </w:rPr>
        <w:t>”: Stock not subject to any restrictions under the terms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36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591820" cy="748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91820" cy="748030"/>
                    </a:xfrm>
                    <a:prstGeom prst="rect">
                      <a:avLst/>
                    </a:prstGeom>
                    <a:noFill/>
                  </pic:spPr>
                </pic:pic>
              </a:graphicData>
            </a:graphic>
          </wp:anchor>
        </w:drawing>
      </w:r>
    </w:p>
    <w:p>
      <w:pPr>
        <w:spacing w:after="0" w:line="20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ROPES &amp; GRAY LLP</w:t>
      </w:r>
    </w:p>
    <w:p>
      <w:pPr>
        <w:spacing w:after="0" w:line="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PRUDENTIAL TOWER</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800 BOYLSTON STREET</w:t>
      </w:r>
    </w:p>
    <w:p>
      <w:pPr>
        <w:spacing w:after="0" w:line="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BOSTON, MA 02199-3600</w:t>
      </w:r>
    </w:p>
    <w:p>
      <w:pPr>
        <w:spacing w:after="0" w:line="5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color w:val="auto"/>
        </w:rPr>
        <w:t>WWW.ROPESGRAY.COM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February 5,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Veradermics, Incorporated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470 James 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Haven, CT 06513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5" w:lineRule="exact"/>
        <w:rPr>
          <w:sz w:val="20"/>
          <w:szCs w:val="20"/>
          <w:color w:val="auto"/>
        </w:rPr>
      </w:pPr>
    </w:p>
    <w:p>
      <w:pPr>
        <w:ind w:right="20" w:firstLine="622"/>
        <w:spacing w:after="0" w:line="267" w:lineRule="auto"/>
        <w:rPr>
          <w:sz w:val="20"/>
          <w:szCs w:val="20"/>
          <w:color w:val="auto"/>
        </w:rPr>
      </w:pPr>
      <w:r>
        <w:rPr>
          <w:rFonts w:ascii="Times New Roman" w:cs="Times New Roman" w:eastAsia="Times New Roman" w:hAnsi="Times New Roman"/>
          <w:sz w:val="20"/>
          <w:szCs w:val="20"/>
          <w:color w:val="auto"/>
        </w:rPr>
        <w:t>This opinion letter is furnished to you in connection with the registration statement on Form S-8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filed by Veradermics, Incorporated,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the date hereof, with the Securities and Exchange Commission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for the registration of 8,062,624 shares of Common Stock, $0.00001 par value per share, of the Company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The Shares are issuable under the Company's 2021 Equity Incentive Plan, 2026 Equity Incentive Plan and 2026 Employee Stock Purchase Plan (each, a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Plans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right="240" w:firstLine="622"/>
        <w:spacing w:after="0" w:line="254" w:lineRule="auto"/>
        <w:rPr>
          <w:sz w:val="20"/>
          <w:szCs w:val="20"/>
          <w:color w:val="auto"/>
        </w:rPr>
      </w:pPr>
      <w:r>
        <w:rPr>
          <w:rFonts w:ascii="Times New Roman" w:cs="Times New Roman" w:eastAsia="Times New Roman" w:hAnsi="Times New Roman"/>
          <w:sz w:val="21"/>
          <w:szCs w:val="21"/>
          <w:color w:val="auto"/>
        </w:rPr>
        <w:t>We are familiar with the actions taken by the Company in connection with the adoption of the Plans.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opinions expressed below are limited to the Delaware General Corporation Law.</w:t>
      </w:r>
    </w:p>
    <w:p>
      <w:pPr>
        <w:spacing w:after="0" w:line="212" w:lineRule="exact"/>
        <w:rPr>
          <w:sz w:val="20"/>
          <w:szCs w:val="20"/>
          <w:color w:val="auto"/>
        </w:rPr>
      </w:pPr>
    </w:p>
    <w:p>
      <w:pPr>
        <w:ind w:right="100" w:firstLine="622"/>
        <w:spacing w:after="0" w:line="265" w:lineRule="auto"/>
        <w:rPr>
          <w:sz w:val="20"/>
          <w:szCs w:val="20"/>
          <w:color w:val="auto"/>
        </w:rPr>
      </w:pPr>
      <w:r>
        <w:rPr>
          <w:rFonts w:ascii="Times New Roman" w:cs="Times New Roman" w:eastAsia="Times New Roman" w:hAnsi="Times New Roman"/>
          <w:sz w:val="21"/>
          <w:szCs w:val="21"/>
          <w:color w:val="auto"/>
        </w:rPr>
        <w:t>Based upon and subject to the foregoing, we are of the opinion that the Shares have been duly authorized and, when the Shares have been issued and sold in accordance with the terms of the applicable Plan, the Shares will be validly issued, fully paid and nonassessable.</w:t>
      </w:r>
    </w:p>
    <w:p>
      <w:pPr>
        <w:spacing w:after="0" w:line="158" w:lineRule="exact"/>
        <w:rPr>
          <w:sz w:val="20"/>
          <w:szCs w:val="20"/>
          <w:color w:val="auto"/>
        </w:rPr>
      </w:pPr>
    </w:p>
    <w:p>
      <w:pPr>
        <w:ind w:right="140" w:firstLine="622"/>
        <w:spacing w:after="0" w:line="273" w:lineRule="auto"/>
        <w:rPr>
          <w:sz w:val="20"/>
          <w:szCs w:val="20"/>
          <w:color w:val="auto"/>
        </w:rPr>
      </w:pPr>
      <w:r>
        <w:rPr>
          <w:rFonts w:ascii="Times New Roman" w:cs="Times New Roman" w:eastAsia="Times New Roman" w:hAnsi="Times New Roman"/>
          <w:sz w:val="21"/>
          <w:szCs w:val="21"/>
          <w:color w:val="auto"/>
        </w:rPr>
        <w:t>We hereby consent to the filing of this opinion letter as an exhibit to the Registration Statement. In giving such consent, we do not thereby admit that we are in the category of</w:t>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color w:val="auto"/>
        </w:rPr>
        <w:t>Veradermics,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persons whose consent is required under Section 7 of the Securities Act or the rules and regulations thereunder.</w:t>
      </w:r>
    </w:p>
    <w:p>
      <w:pPr>
        <w:spacing w:after="0" w:line="200" w:lineRule="exact"/>
        <w:rPr>
          <w:sz w:val="20"/>
          <w:szCs w:val="20"/>
          <w:color w:val="auto"/>
        </w:rPr>
      </w:pPr>
    </w:p>
    <w:p>
      <w:pPr>
        <w:spacing w:after="0" w:line="25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/s/ Ropes &amp; Gray LLP</w:t>
      </w:r>
    </w:p>
    <w:p>
      <w:pPr>
        <w:spacing w:after="0" w:line="3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-151765</wp:posOffset>
            </wp:positionV>
            <wp:extent cx="2565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1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We consent to the incorporation by reference in this Registration Statement on Form S-8 of our report dated October 24, 2025 (January 28, 2026, as to the effects of the reverse stock split discussed in Note 13), relating to the financial statements of Veradermics, Inc. appearing in the Registration Statement on Form S-1.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Hartford, 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5, 2026</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2)"/>
      <w:numFmt w:val="lowerRoman"/>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decimal"/>
      <w:start w:val="4"/>
    </w:lvl>
    <w:lvl w:ilvl="1">
      <w:lvlJc w:val="left"/>
      <w:lvlText w:val="(%2)"/>
      <w:numFmt w:val="lowerLetter"/>
      <w:start w:val="1"/>
    </w:lvl>
  </w:abstractNum>
  <w:abstractNum w:abstractNumId="6">
    <w:nsid w:val="4E6AFB66"/>
    <w:multiLevelType w:val="hybridMultilevel"/>
    <w:lvl w:ilvl="0">
      <w:lvlJc w:val="left"/>
      <w:lvlText w:val="%1"/>
      <w:numFmt w:val="decimal"/>
      <w:start w:val="1"/>
    </w:lvl>
    <w:lvl w:ilvl="1">
      <w:lvlJc w:val="left"/>
      <w:lvlText w:val="(%2)"/>
      <w:numFmt w:val="lowerLetter"/>
      <w:start w:val="2"/>
    </w:lvl>
  </w:abstractNum>
  <w:abstractNum w:abstractNumId="7">
    <w:nsid w:val="25E45D32"/>
    <w:multiLevelType w:val="hybridMultilevel"/>
    <w:lvl w:ilvl="0">
      <w:lvlJc w:val="left"/>
      <w:lvlText w:val="%1."/>
      <w:numFmt w:val="decimal"/>
      <w:start w:val="5"/>
    </w:lvl>
    <w:lvl w:ilvl="1">
      <w:lvlJc w:val="left"/>
      <w:lvlText w:val="%2"/>
      <w:numFmt w:val="lowerLetter"/>
      <w:start w:val="1"/>
    </w:lvl>
  </w:abstractNum>
  <w:abstractNum w:abstractNumId="8">
    <w:nsid w:val="519B500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9">
    <w:nsid w:val="431BD7B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0">
    <w:nsid w:val="3F2DBA31"/>
    <w:multiLevelType w:val="hybridMultilevel"/>
    <w:lvl w:ilvl="0">
      <w:lvlJc w:val="left"/>
      <w:lvlText w:val="(%1)"/>
      <w:numFmt w:val="lowerRoman"/>
      <w:start w:val="2"/>
    </w:lvl>
    <w:lvl w:ilvl="1">
      <w:lvlJc w:val="left"/>
      <w:lvlText w:val="(%2)"/>
      <w:numFmt w:val="decimal"/>
      <w:start w:val="4"/>
    </w:lvl>
    <w:lvl w:ilvl="2">
      <w:lvlJc w:val="left"/>
      <w:lvlText w:val="(%3)"/>
      <w:numFmt w:val="upperLetter"/>
      <w:start w:val="4"/>
    </w:lvl>
  </w:abstractNum>
  <w:abstractNum w:abstractNumId="11">
    <w:nsid w:val="7C83E458"/>
    <w:multiLevelType w:val="hybridMultilevel"/>
    <w:lvl w:ilvl="0">
      <w:lvlJc w:val="left"/>
      <w:lvlText w:val="(%1)"/>
      <w:numFmt w:val="decimal"/>
      <w:start w:val="6"/>
    </w:lvl>
  </w:abstractNum>
  <w:abstractNum w:abstractNumId="12">
    <w:nsid w:val="257130A3"/>
    <w:multiLevelType w:val="hybridMultilevel"/>
    <w:lvl w:ilvl="0">
      <w:lvlJc w:val="left"/>
      <w:lvlText w:val="(%1)"/>
      <w:numFmt w:val="decimal"/>
      <w:start w:val="9"/>
    </w:lvl>
    <w:lvl w:ilvl="1">
      <w:lvlJc w:val="left"/>
      <w:lvlText w:val="(%2)"/>
      <w:numFmt w:val="upp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5"/>
    </w:lvl>
  </w:abstractNum>
  <w:abstractNum w:abstractNumId="14">
    <w:nsid w:val="436C612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15">
    <w:nsid w:val="628C895D"/>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lvl w:ilvl="3">
      <w:lvlJc w:val="left"/>
      <w:lvlText w:val="%4"/>
      <w:numFmt w:val="upperLetter"/>
      <w:start w:val="1"/>
    </w:lvl>
  </w:abstractNum>
  <w:abstractNum w:abstractNumId="16">
    <w:nsid w:val="333AB105"/>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8">
    <w:nsid w:val="2443A85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0">
    <w:nsid w:val="6763845E"/>
    <w:multiLevelType w:val="hybridMultilevel"/>
    <w:lvl w:ilvl="0">
      <w:lvlJc w:val="left"/>
      <w:lvlText w:val="%1"/>
      <w:numFmt w:val="decimal"/>
      <w:start w:val="1"/>
    </w:lvl>
    <w:lvl w:ilvl="1">
      <w:lvlJc w:val="left"/>
      <w:lvlText w:val="(%2)"/>
      <w:numFmt w:val="decimal"/>
      <w:start w:val="3"/>
    </w:lvl>
  </w:abstractNum>
  <w:abstractNum w:abstractNumId="21">
    <w:nsid w:val="75A2A8D4"/>
    <w:multiLevelType w:val="hybridMultilevel"/>
    <w:lvl w:ilvl="0">
      <w:lvlJc w:val="left"/>
      <w:lvlText w:val="%1."/>
      <w:numFmt w:val="decimal"/>
      <w:start w:val="8"/>
    </w:lvl>
    <w:lvl w:ilvl="1">
      <w:lvlJc w:val="left"/>
      <w:lvlText w:val="%2"/>
      <w:numFmt w:val="decimal"/>
      <w:start w:val="1"/>
    </w:lvl>
  </w:abstractNum>
  <w:abstractNum w:abstractNumId="22">
    <w:nsid w:val="8EDBDAB"/>
    <w:multiLevelType w:val="hybridMultilevel"/>
    <w:lvl w:ilvl="0">
      <w:lvlJc w:val="left"/>
      <w:lvlText w:val="%1."/>
      <w:numFmt w:val="decimal"/>
      <w:start w:val="11"/>
    </w:lvl>
    <w:lvl w:ilvl="1">
      <w:lvlJc w:val="left"/>
      <w:lvlText w:val="(%2)"/>
      <w:numFmt w:val="lowerLetter"/>
      <w:start w:val="1"/>
    </w:lvl>
  </w:abstractNum>
  <w:abstractNum w:abstractNumId="23">
    <w:nsid w:val="79838CB2"/>
    <w:multiLevelType w:val="hybridMultilevel"/>
    <w:lvl w:ilvl="0">
      <w:lvlJc w:val="left"/>
      <w:lvlText w:val="%1."/>
      <w:numFmt w:val="decimal"/>
      <w:start w:val="13"/>
    </w:lvl>
    <w:lvl w:ilvl="1">
      <w:lvlJc w:val="left"/>
      <w:lvlText w:val="(%2)"/>
      <w:numFmt w:val="lowerLetter"/>
      <w:start w:val="1"/>
    </w:lvl>
  </w:abstractNum>
  <w:abstractNum w:abstractNumId="24">
    <w:nsid w:val="4353D0CD"/>
    <w:multiLevelType w:val="hybridMultilevel"/>
    <w:lvl w:ilvl="0">
      <w:lvlJc w:val="left"/>
      <w:lvlText w:val="(%1)"/>
      <w:numFmt w:val="lowerRoman"/>
      <w:start w:val="3"/>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jpeg"/><Relationship Id="rId40" Type="http://schemas.openxmlformats.org/officeDocument/2006/relationships/image" Target="media/image26.png"/><Relationship Id="rId18" Type="http://schemas.openxmlformats.org/officeDocument/2006/relationships/hyperlink" Target="https://www.sec.gov/Archives/edgar/data/1827635/000162828026005800/veradermicsincclosing8-k.htm" TargetMode="External"/><Relationship Id="rId19" Type="http://schemas.openxmlformats.org/officeDocument/2006/relationships/hyperlink" Target="https://www.sec.gov/Archives/edgar/data/1827635/000162828026001651/veradermicsincs-1.htm" TargetMode="External"/><Relationship Id="rId20" Type="http://schemas.openxmlformats.org/officeDocument/2006/relationships/hyperlink" Target="https://www.sec.gov/Archives/edgar/data/1827635/000162828026005106/veradermicsincform8-a12b.htm" TargetMode="External"/><Relationship Id="rId22" Type="http://schemas.openxmlformats.org/officeDocument/2006/relationships/hyperlink" Target="https://www.sec.gov/Archives/edgar/data/1827635/000162828026005800/exhibit31-closing8xk.htm" TargetMode="External"/><Relationship Id="rId23" Type="http://schemas.openxmlformats.org/officeDocument/2006/relationships/hyperlink" Target="https://www.sec.gov/Archives/edgar/data/1827635/000162828026005800/exhibit32-closing8xk.htm" TargetMode="External"/><Relationship Id="rId24" Type="http://schemas.openxmlformats.org/officeDocument/2006/relationships/hyperlink" Target="https://www.sec.gov/Archives/edgar/data/1827635/000162828026003764/exhibit103-sx1a2.htm" TargetMode="External"/><Relationship Id="rId25" Type="http://schemas.openxmlformats.org/officeDocument/2006/relationships/hyperlink" Target="https://www.sec.gov/Archives/edgar/data/1827635/000162828026003764/exhibit106-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2026-02-05T16:07:11Z</dcterms:created>
  <dcterms:modified xsi:type="dcterms:W3CDTF">2026-02-05T16:07:11Z</dcterms:modified>
</cp:coreProperties>
</file>