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9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gridSpan w:val="5"/>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SUVRETTA CAPITAL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Veradermics,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MANE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(Check all applicable)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80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40" w:type="dxa"/>
            <w:vAlign w:val="bottom"/>
            <w:tcBorders>
              <w:top w:val="single" w:sz="8" w:color="0000EE"/>
            </w:tcBorders>
            <w:gridSpan w:val="2"/>
            <w:vMerge w:val="restart"/>
          </w:tcPr>
          <w:p>
            <w:pPr>
              <w:spacing w:after="0" w:line="20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MANAGEMENT, LLC</w:t>
              </w:r>
            </w:hyperlink>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Borders>
              <w:bottom w:val="single" w:sz="8" w:color="0000EE"/>
            </w:tcBorders>
            <w:gridSpan w:val="2"/>
            <w:vMerge w:val="continue"/>
          </w:tcPr>
          <w:p>
            <w:pPr>
              <w:spacing w:after="0"/>
              <w:rPr>
                <w:sz w:val="12"/>
                <w:szCs w:val="12"/>
                <w:color w:val="auto"/>
              </w:rPr>
            </w:pPr>
          </w:p>
        </w:tc>
        <w:tc>
          <w:tcPr>
            <w:tcW w:w="40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gridSpan w:val="2"/>
          </w:tcPr>
          <w:p>
            <w:pPr>
              <w:spacing w:after="0"/>
              <w:rPr>
                <w:sz w:val="3"/>
                <w:szCs w:val="3"/>
                <w:color w:val="auto"/>
              </w:rPr>
            </w:pPr>
          </w:p>
        </w:tc>
        <w:tc>
          <w:tcPr>
            <w:tcW w:w="40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ind w:left="400"/>
              <w:spacing w:after="0" w:line="87" w:lineRule="exact"/>
              <w:rPr>
                <w:sz w:val="20"/>
                <w:szCs w:val="20"/>
                <w:color w:val="auto"/>
              </w:rPr>
            </w:pPr>
            <w:r>
              <w:rPr>
                <w:rFonts w:ascii="Arial" w:cs="Arial" w:eastAsia="Arial" w:hAnsi="Arial"/>
                <w:sz w:val="10"/>
                <w:szCs w:val="10"/>
                <w:color w:val="auto"/>
              </w:rPr>
              <w:t>below)</w:t>
            </w:r>
          </w:p>
        </w:tc>
        <w:tc>
          <w:tcPr>
            <w:tcW w:w="800" w:type="dxa"/>
            <w:vAlign w:val="bottom"/>
          </w:tcPr>
          <w:p>
            <w:pPr>
              <w:spacing w:after="0"/>
              <w:rPr>
                <w:sz w:val="11"/>
                <w:szCs w:val="11"/>
                <w:color w:val="auto"/>
              </w:rPr>
            </w:pPr>
          </w:p>
        </w:tc>
        <w:tc>
          <w:tcPr>
            <w:tcW w:w="1160" w:type="dxa"/>
            <w:vAlign w:val="bottom"/>
            <w:gridSpan w:val="2"/>
          </w:tcPr>
          <w:p>
            <w:pPr>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140" w:type="dxa"/>
            <w:vAlign w:val="bottom"/>
            <w:gridSpan w:val="5"/>
            <w:vMerge w:val="continue"/>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28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02/04/2026</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540 MADISON AVENUE</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7TH FLOOR</w:t>
            </w: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2380" w:type="dxa"/>
            <w:vAlign w:val="bottom"/>
            <w:tcBorders>
              <w:bottom w:val="single" w:sz="8" w:color="2C2C2C"/>
            </w:tcBorders>
            <w:gridSpan w:val="5"/>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5"/>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4"/>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20" w:type="dxa"/>
            <w:vAlign w:val="bottom"/>
            <w:gridSpan w:val="4"/>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ind w:left="40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28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8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gridSpan w:val="2"/>
          </w:tcPr>
          <w:p>
            <w:pPr>
              <w:jc w:val="center"/>
              <w:ind w:left="5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10,004</w:t>
            </w:r>
            <w:r>
              <w:rPr>
                <w:rFonts w:ascii="Times New Roman" w:cs="Times New Roman" w:eastAsia="Times New Roman" w:hAnsi="Times New Roman"/>
                <w:sz w:val="22"/>
                <w:szCs w:val="22"/>
                <w:color w:val="008000"/>
                <w:w w:val="93"/>
                <w:vertAlign w:val="superscript"/>
              </w:rPr>
              <w:t>(2)</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34.25</w:t>
            </w:r>
            <w:r>
              <w:rPr>
                <w:rFonts w:ascii="Times New Roman" w:cs="Times New Roman" w:eastAsia="Times New Roman" w:hAnsi="Times New Roman"/>
                <w:sz w:val="22"/>
                <w:szCs w:val="22"/>
                <w:color w:val="008000"/>
                <w:w w:val="92"/>
                <w:vertAlign w:val="superscript"/>
              </w:rPr>
              <w:t>(2)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3,525,462</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10,676</w:t>
            </w:r>
            <w:r>
              <w:rPr>
                <w:rFonts w:ascii="Times New Roman" w:cs="Times New Roman" w:eastAsia="Times New Roman" w:hAnsi="Times New Roman"/>
                <w:sz w:val="22"/>
                <w:szCs w:val="22"/>
                <w:color w:val="008000"/>
                <w:w w:val="93"/>
                <w:vertAlign w:val="superscript"/>
              </w:rPr>
              <w:t>(3)</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34.74</w:t>
            </w:r>
            <w:r>
              <w:rPr>
                <w:rFonts w:ascii="Times New Roman" w:cs="Times New Roman" w:eastAsia="Times New Roman" w:hAnsi="Times New Roman"/>
                <w:sz w:val="22"/>
                <w:szCs w:val="22"/>
                <w:color w:val="008000"/>
                <w:w w:val="92"/>
                <w:vertAlign w:val="superscript"/>
              </w:rPr>
              <w:t>(3)</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3,536,138</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14,659</w:t>
            </w:r>
            <w:r>
              <w:rPr>
                <w:rFonts w:ascii="Times New Roman" w:cs="Times New Roman" w:eastAsia="Times New Roman" w:hAnsi="Times New Roman"/>
                <w:sz w:val="22"/>
                <w:szCs w:val="22"/>
                <w:color w:val="008000"/>
                <w:w w:val="93"/>
                <w:vertAlign w:val="superscript"/>
              </w:rPr>
              <w:t>(4)</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36.27</w:t>
            </w:r>
            <w:r>
              <w:rPr>
                <w:rFonts w:ascii="Times New Roman" w:cs="Times New Roman" w:eastAsia="Times New Roman" w:hAnsi="Times New Roman"/>
                <w:sz w:val="22"/>
                <w:szCs w:val="22"/>
                <w:color w:val="008000"/>
                <w:w w:val="92"/>
                <w:vertAlign w:val="superscript"/>
              </w:rPr>
              <w:t>(4)</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3,550,797</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53,344</w:t>
            </w:r>
            <w:r>
              <w:rPr>
                <w:rFonts w:ascii="Times New Roman" w:cs="Times New Roman" w:eastAsia="Times New Roman" w:hAnsi="Times New Roman"/>
                <w:sz w:val="22"/>
                <w:szCs w:val="22"/>
                <w:color w:val="008000"/>
                <w:w w:val="93"/>
                <w:vertAlign w:val="superscript"/>
              </w:rPr>
              <w:t>(5)</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37.11</w:t>
            </w:r>
            <w:r>
              <w:rPr>
                <w:rFonts w:ascii="Times New Roman" w:cs="Times New Roman" w:eastAsia="Times New Roman" w:hAnsi="Times New Roman"/>
                <w:sz w:val="22"/>
                <w:szCs w:val="22"/>
                <w:color w:val="008000"/>
                <w:w w:val="92"/>
                <w:vertAlign w:val="superscript"/>
              </w:rPr>
              <w:t>(5)</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3,604,141</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(1)(5)</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25,908</w:t>
            </w:r>
            <w:r>
              <w:rPr>
                <w:rFonts w:ascii="Times New Roman" w:cs="Times New Roman" w:eastAsia="Times New Roman" w:hAnsi="Times New Roman"/>
                <w:sz w:val="22"/>
                <w:szCs w:val="22"/>
                <w:color w:val="008000"/>
                <w:w w:val="93"/>
                <w:vertAlign w:val="superscript"/>
              </w:rPr>
              <w:t>(6)</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38.09</w:t>
            </w:r>
            <w:r>
              <w:rPr>
                <w:rFonts w:ascii="Times New Roman" w:cs="Times New Roman" w:eastAsia="Times New Roman" w:hAnsi="Times New Roman"/>
                <w:sz w:val="22"/>
                <w:szCs w:val="22"/>
                <w:color w:val="008000"/>
                <w:w w:val="92"/>
                <w:vertAlign w:val="superscript"/>
              </w:rPr>
              <w:t>(6)</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3,630,049</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(1)(6)</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18,489</w:t>
            </w:r>
            <w:r>
              <w:rPr>
                <w:rFonts w:ascii="Times New Roman" w:cs="Times New Roman" w:eastAsia="Times New Roman" w:hAnsi="Times New Roman"/>
                <w:sz w:val="22"/>
                <w:szCs w:val="22"/>
                <w:color w:val="008000"/>
                <w:w w:val="93"/>
                <w:vertAlign w:val="superscript"/>
              </w:rPr>
              <w:t>(7)</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vMerge w:val="restart"/>
          </w:tcPr>
          <w:p>
            <w:pPr>
              <w:jc w:val="center"/>
              <w:ind w:left="35"/>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38.9</w:t>
            </w:r>
            <w:r>
              <w:rPr>
                <w:rFonts w:ascii="Times New Roman" w:cs="Times New Roman" w:eastAsia="Times New Roman" w:hAnsi="Times New Roman"/>
                <w:sz w:val="22"/>
                <w:szCs w:val="22"/>
                <w:color w:val="008000"/>
                <w:w w:val="92"/>
                <w:vertAlign w:val="superscript"/>
              </w:rPr>
              <w:t>(7)</w:t>
            </w:r>
          </w:p>
        </w:tc>
        <w:tc>
          <w:tcPr>
            <w:tcW w:w="120" w:type="dxa"/>
            <w:vAlign w:val="bottom"/>
          </w:tcPr>
          <w:p>
            <w:pPr>
              <w:spacing w:after="0"/>
              <w:rPr>
                <w:sz w:val="21"/>
                <w:szCs w:val="2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3,648,538</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(1)(7)</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1,720</w:t>
            </w:r>
            <w:r>
              <w:rPr>
                <w:rFonts w:ascii="Times New Roman" w:cs="Times New Roman" w:eastAsia="Times New Roman" w:hAnsi="Times New Roman"/>
                <w:sz w:val="22"/>
                <w:szCs w:val="22"/>
                <w:color w:val="008000"/>
                <w:w w:val="93"/>
                <w:vertAlign w:val="superscript"/>
              </w:rPr>
              <w:t>(8)</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34.25</w:t>
            </w:r>
            <w:r>
              <w:rPr>
                <w:rFonts w:ascii="Times New Roman" w:cs="Times New Roman" w:eastAsia="Times New Roman" w:hAnsi="Times New Roman"/>
                <w:sz w:val="22"/>
                <w:szCs w:val="22"/>
                <w:color w:val="008000"/>
                <w:w w:val="92"/>
                <w:vertAlign w:val="superscript"/>
              </w:rPr>
              <w:t>(8)</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372,579</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(1)(8)</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1,835</w:t>
            </w:r>
            <w:r>
              <w:rPr>
                <w:rFonts w:ascii="Times New Roman" w:cs="Times New Roman" w:eastAsia="Times New Roman" w:hAnsi="Times New Roman"/>
                <w:sz w:val="22"/>
                <w:szCs w:val="22"/>
                <w:color w:val="008000"/>
                <w:w w:val="93"/>
                <w:vertAlign w:val="superscript"/>
              </w:rPr>
              <w:t>(9)</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34.74</w:t>
            </w:r>
            <w:r>
              <w:rPr>
                <w:rFonts w:ascii="Times New Roman" w:cs="Times New Roman" w:eastAsia="Times New Roman" w:hAnsi="Times New Roman"/>
                <w:sz w:val="22"/>
                <w:szCs w:val="22"/>
                <w:color w:val="008000"/>
                <w:w w:val="92"/>
                <w:vertAlign w:val="superscript"/>
              </w:rPr>
              <w:t>(9)</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374,414</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(1)(9)</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2,519</w:t>
            </w:r>
            <w:r>
              <w:rPr>
                <w:rFonts w:ascii="Times New Roman" w:cs="Times New Roman" w:eastAsia="Times New Roman" w:hAnsi="Times New Roman"/>
                <w:sz w:val="22"/>
                <w:szCs w:val="22"/>
                <w:color w:val="008000"/>
                <w:w w:val="92"/>
                <w:vertAlign w:val="superscript"/>
              </w:rPr>
              <w:t>(10)</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36.27</w:t>
            </w:r>
            <w:r>
              <w:rPr>
                <w:rFonts w:ascii="Times New Roman" w:cs="Times New Roman" w:eastAsia="Times New Roman" w:hAnsi="Times New Roman"/>
                <w:sz w:val="22"/>
                <w:szCs w:val="22"/>
                <w:color w:val="008000"/>
                <w:w w:val="94"/>
                <w:vertAlign w:val="superscript"/>
              </w:rPr>
              <w:t>(10)</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376,933</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footnotes</w:t>
            </w:r>
            <w:r>
              <w:rPr>
                <w:rFonts w:ascii="Times New Roman" w:cs="Times New Roman" w:eastAsia="Times New Roman" w:hAnsi="Times New Roman"/>
                <w:sz w:val="22"/>
                <w:szCs w:val="22"/>
                <w:color w:val="008000"/>
                <w:w w:val="95"/>
                <w:vertAlign w:val="superscript"/>
              </w:rPr>
              <w:t>(1)(10)</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9,168</w:t>
            </w:r>
            <w:r>
              <w:rPr>
                <w:rFonts w:ascii="Times New Roman" w:cs="Times New Roman" w:eastAsia="Times New Roman" w:hAnsi="Times New Roman"/>
                <w:sz w:val="22"/>
                <w:szCs w:val="22"/>
                <w:color w:val="008000"/>
                <w:w w:val="89"/>
                <w:vertAlign w:val="superscript"/>
              </w:rPr>
              <w:t>(11)</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37.11</w:t>
            </w:r>
            <w:r>
              <w:rPr>
                <w:rFonts w:ascii="Times New Roman" w:cs="Times New Roman" w:eastAsia="Times New Roman" w:hAnsi="Times New Roman"/>
                <w:sz w:val="22"/>
                <w:szCs w:val="22"/>
                <w:color w:val="008000"/>
                <w:w w:val="91"/>
                <w:vertAlign w:val="superscript"/>
              </w:rPr>
              <w:t>(11)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386,101</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footnotes</w:t>
            </w:r>
            <w:r>
              <w:rPr>
                <w:rFonts w:ascii="Times New Roman" w:cs="Times New Roman" w:eastAsia="Times New Roman" w:hAnsi="Times New Roman"/>
                <w:sz w:val="22"/>
                <w:szCs w:val="22"/>
                <w:color w:val="008000"/>
                <w:w w:val="95"/>
                <w:vertAlign w:val="superscript"/>
              </w:rPr>
              <w:t>(1)(11)</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4,453</w:t>
            </w:r>
            <w:r>
              <w:rPr>
                <w:rFonts w:ascii="Times New Roman" w:cs="Times New Roman" w:eastAsia="Times New Roman" w:hAnsi="Times New Roman"/>
                <w:sz w:val="22"/>
                <w:szCs w:val="22"/>
                <w:color w:val="008000"/>
                <w:w w:val="92"/>
                <w:vertAlign w:val="superscript"/>
              </w:rPr>
              <w:t>(12)</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38.09</w:t>
            </w:r>
            <w:r>
              <w:rPr>
                <w:rFonts w:ascii="Times New Roman" w:cs="Times New Roman" w:eastAsia="Times New Roman" w:hAnsi="Times New Roman"/>
                <w:sz w:val="22"/>
                <w:szCs w:val="22"/>
                <w:color w:val="008000"/>
                <w:w w:val="94"/>
                <w:vertAlign w:val="superscript"/>
              </w:rPr>
              <w:t>(12)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390,554</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footnotes</w:t>
            </w:r>
            <w:r>
              <w:rPr>
                <w:rFonts w:ascii="Times New Roman" w:cs="Times New Roman" w:eastAsia="Times New Roman" w:hAnsi="Times New Roman"/>
                <w:sz w:val="22"/>
                <w:szCs w:val="22"/>
                <w:color w:val="008000"/>
                <w:w w:val="95"/>
                <w:vertAlign w:val="superscript"/>
              </w:rPr>
              <w:t>(1)(12)</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02/04/2026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3,178</w:t>
            </w:r>
            <w:r>
              <w:rPr>
                <w:rFonts w:ascii="Times New Roman" w:cs="Times New Roman" w:eastAsia="Times New Roman" w:hAnsi="Times New Roman"/>
                <w:sz w:val="22"/>
                <w:szCs w:val="22"/>
                <w:color w:val="008000"/>
                <w:w w:val="92"/>
                <w:vertAlign w:val="superscript"/>
              </w:rPr>
              <w:t>(13)</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38.9</w:t>
            </w:r>
            <w:r>
              <w:rPr>
                <w:rFonts w:ascii="Times New Roman" w:cs="Times New Roman" w:eastAsia="Times New Roman" w:hAnsi="Times New Roman"/>
                <w:sz w:val="22"/>
                <w:szCs w:val="22"/>
                <w:color w:val="008000"/>
                <w:w w:val="91"/>
                <w:vertAlign w:val="superscript"/>
              </w:rPr>
              <w:t>(13)</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393,732</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footnotes</w:t>
            </w:r>
            <w:r>
              <w:rPr>
                <w:rFonts w:ascii="Times New Roman" w:cs="Times New Roman" w:eastAsia="Times New Roman" w:hAnsi="Times New Roman"/>
                <w:sz w:val="22"/>
                <w:szCs w:val="22"/>
                <w:color w:val="008000"/>
                <w:w w:val="95"/>
                <w:vertAlign w:val="superscript"/>
              </w:rPr>
              <w:t>(1)(13)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02/05/2026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3,832</w:t>
            </w:r>
            <w:r>
              <w:rPr>
                <w:rFonts w:ascii="Times New Roman" w:cs="Times New Roman" w:eastAsia="Times New Roman" w:hAnsi="Times New Roman"/>
                <w:sz w:val="22"/>
                <w:szCs w:val="22"/>
                <w:color w:val="008000"/>
                <w:w w:val="92"/>
                <w:vertAlign w:val="superscript"/>
              </w:rPr>
              <w:t>(14)</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36.07</w:t>
            </w:r>
            <w:r>
              <w:rPr>
                <w:rFonts w:ascii="Times New Roman" w:cs="Times New Roman" w:eastAsia="Times New Roman" w:hAnsi="Times New Roman"/>
                <w:sz w:val="22"/>
                <w:szCs w:val="22"/>
                <w:color w:val="008000"/>
                <w:w w:val="94"/>
                <w:vertAlign w:val="superscript"/>
              </w:rPr>
              <w:t>(14)</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397,564</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footnotes</w:t>
            </w:r>
            <w:r>
              <w:rPr>
                <w:rFonts w:ascii="Times New Roman" w:cs="Times New Roman" w:eastAsia="Times New Roman" w:hAnsi="Times New Roman"/>
                <w:sz w:val="22"/>
                <w:szCs w:val="22"/>
                <w:color w:val="008000"/>
                <w:w w:val="95"/>
                <w:vertAlign w:val="superscript"/>
              </w:rPr>
              <w:t>(1)(14)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02/05/2026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19,199</w:t>
            </w:r>
            <w:r>
              <w:rPr>
                <w:rFonts w:ascii="Times New Roman" w:cs="Times New Roman" w:eastAsia="Times New Roman" w:hAnsi="Times New Roman"/>
                <w:sz w:val="22"/>
                <w:szCs w:val="22"/>
                <w:color w:val="008000"/>
                <w:w w:val="92"/>
                <w:vertAlign w:val="superscript"/>
              </w:rPr>
              <w:t>(15)</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36.93</w:t>
            </w:r>
            <w:r>
              <w:rPr>
                <w:rFonts w:ascii="Times New Roman" w:cs="Times New Roman" w:eastAsia="Times New Roman" w:hAnsi="Times New Roman"/>
                <w:sz w:val="22"/>
                <w:szCs w:val="22"/>
                <w:color w:val="008000"/>
                <w:w w:val="94"/>
                <w:vertAlign w:val="superscript"/>
              </w:rPr>
              <w:t>(15)</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416,763</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footnotes</w:t>
            </w:r>
            <w:r>
              <w:rPr>
                <w:rFonts w:ascii="Times New Roman" w:cs="Times New Roman" w:eastAsia="Times New Roman" w:hAnsi="Times New Roman"/>
                <w:sz w:val="22"/>
                <w:szCs w:val="22"/>
                <w:color w:val="008000"/>
                <w:w w:val="95"/>
                <w:vertAlign w:val="superscript"/>
              </w:rPr>
              <w:t>(1)(15)</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200" w:type="dxa"/>
            <w:vAlign w:val="bottom"/>
            <w:vMerge w:val="restart"/>
          </w:tcPr>
          <w:p>
            <w:pPr>
              <w:jc w:val="center"/>
              <w:ind w:left="139"/>
              <w:spacing w:after="0"/>
              <w:rPr>
                <w:sz w:val="20"/>
                <w:szCs w:val="20"/>
                <w:color w:val="auto"/>
              </w:rPr>
            </w:pPr>
            <w:r>
              <w:rPr>
                <w:rFonts w:ascii="Times New Roman" w:cs="Times New Roman" w:eastAsia="Times New Roman" w:hAnsi="Times New Roman"/>
                <w:sz w:val="17"/>
                <w:szCs w:val="17"/>
                <w:color w:val="0000FF"/>
              </w:rPr>
              <w:t>02/05/2026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38,771</w:t>
            </w:r>
            <w:r>
              <w:rPr>
                <w:rFonts w:ascii="Times New Roman" w:cs="Times New Roman" w:eastAsia="Times New Roman" w:hAnsi="Times New Roman"/>
                <w:sz w:val="22"/>
                <w:szCs w:val="22"/>
                <w:color w:val="008000"/>
                <w:w w:val="92"/>
                <w:vertAlign w:val="superscript"/>
              </w:rPr>
              <w:t>(16)</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37.63</w:t>
            </w:r>
            <w:r>
              <w:rPr>
                <w:rFonts w:ascii="Times New Roman" w:cs="Times New Roman" w:eastAsia="Times New Roman" w:hAnsi="Times New Roman"/>
                <w:sz w:val="22"/>
                <w:szCs w:val="22"/>
                <w:color w:val="008000"/>
                <w:w w:val="94"/>
                <w:vertAlign w:val="superscript"/>
              </w:rPr>
              <w:t>(16)</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455,534</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footnotes</w:t>
            </w:r>
            <w:r>
              <w:rPr>
                <w:rFonts w:ascii="Times New Roman" w:cs="Times New Roman" w:eastAsia="Times New Roman" w:hAnsi="Times New Roman"/>
                <w:sz w:val="22"/>
                <w:szCs w:val="22"/>
                <w:color w:val="008000"/>
                <w:w w:val="95"/>
                <w:vertAlign w:val="superscript"/>
              </w:rPr>
              <w:t>(1)(16)</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80" w:type="dxa"/>
            <w:vAlign w:val="bottom"/>
            <w:tcBorders>
              <w:bottom w:val="single" w:sz="8" w:color="808080"/>
            </w:tcBorders>
            <w:gridSpan w:val="2"/>
            <w:vMerge w:val="continue"/>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9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9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80" w:type="dxa"/>
            <w:vAlign w:val="bottom"/>
          </w:tcPr>
          <w:p>
            <w:pPr>
              <w:spacing w:after="0"/>
              <w:rPr>
                <w:sz w:val="11"/>
                <w:szCs w:val="11"/>
                <w:color w:val="auto"/>
              </w:rPr>
            </w:pPr>
          </w:p>
        </w:tc>
        <w:tc>
          <w:tcPr>
            <w:tcW w:w="9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3"/>
                <w:szCs w:val="13"/>
                <w:color w:val="auto"/>
              </w:rPr>
            </w:pPr>
          </w:p>
        </w:tc>
        <w:tc>
          <w:tcPr>
            <w:tcW w:w="9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1280" w:type="dxa"/>
            <w:vAlign w:val="bottom"/>
            <w:tcBorders>
              <w:top w:val="single" w:sz="8" w:color="2C2C2C"/>
            </w:tcBorders>
            <w:gridSpan w:val="2"/>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80" w:type="dxa"/>
            <w:vAlign w:val="bottom"/>
            <w:vMerge w:val="restart"/>
          </w:tcPr>
          <w:p>
            <w:pPr>
              <w:spacing w:after="0"/>
              <w:rPr>
                <w:sz w:val="7"/>
                <w:szCs w:val="7"/>
                <w:color w:val="auto"/>
              </w:rPr>
            </w:pPr>
          </w:p>
        </w:tc>
        <w:tc>
          <w:tcPr>
            <w:tcW w:w="68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28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02/05/2026</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820" w:type="dxa"/>
            <w:vAlign w:val="bottom"/>
            <w:vMerge w:val="restart"/>
          </w:tcPr>
          <w:p>
            <w:pPr>
              <w:jc w:val="right"/>
              <w:ind w:right="7"/>
              <w:spacing w:after="0"/>
              <w:rPr>
                <w:sz w:val="20"/>
                <w:szCs w:val="20"/>
                <w:color w:val="auto"/>
              </w:rPr>
            </w:pPr>
            <w:r>
              <w:rPr>
                <w:rFonts w:ascii="Times New Roman" w:cs="Times New Roman" w:eastAsia="Times New Roman" w:hAnsi="Times New Roman"/>
                <w:sz w:val="17"/>
                <w:szCs w:val="17"/>
                <w:color w:val="0000FF"/>
              </w:rPr>
              <w:t>17,835</w:t>
            </w:r>
            <w:r>
              <w:rPr>
                <w:rFonts w:ascii="Times New Roman" w:cs="Times New Roman" w:eastAsia="Times New Roman" w:hAnsi="Times New Roman"/>
                <w:sz w:val="22"/>
                <w:szCs w:val="22"/>
                <w:color w:val="008000"/>
                <w:vertAlign w:val="superscript"/>
              </w:rPr>
              <w:t>(17)</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vMerge w:val="restart"/>
          </w:tcPr>
          <w:p>
            <w:pPr>
              <w:jc w:val="center"/>
              <w:ind w:left="7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38.67</w:t>
            </w:r>
            <w:r>
              <w:rPr>
                <w:rFonts w:ascii="Times New Roman" w:cs="Times New Roman" w:eastAsia="Times New Roman" w:hAnsi="Times New Roman"/>
                <w:sz w:val="22"/>
                <w:szCs w:val="22"/>
                <w:color w:val="008000"/>
                <w:w w:val="94"/>
                <w:vertAlign w:val="superscript"/>
              </w:rPr>
              <w:t>(17)</w:t>
            </w:r>
          </w:p>
        </w:tc>
        <w:tc>
          <w:tcPr>
            <w:tcW w:w="80" w:type="dxa"/>
            <w:vAlign w:val="bottom"/>
          </w:tcPr>
          <w:p>
            <w:pPr>
              <w:spacing w:after="0"/>
              <w:rPr>
                <w:sz w:val="21"/>
                <w:szCs w:val="21"/>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473,369</w:t>
            </w:r>
          </w:p>
        </w:tc>
        <w:tc>
          <w:tcPr>
            <w:tcW w:w="420" w:type="dxa"/>
            <w:vAlign w:val="bottom"/>
          </w:tcPr>
          <w:p>
            <w:pPr>
              <w:spacing w:after="0"/>
              <w:rPr>
                <w:sz w:val="21"/>
                <w:szCs w:val="21"/>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(1)(17)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100" w:type="dxa"/>
            <w:vAlign w:val="bottom"/>
            <w:tcBorders>
              <w:top w:val="single" w:sz="8" w:color="2C2C2C"/>
            </w:tcBorders>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02/05/2026</w:t>
            </w:r>
          </w:p>
        </w:tc>
        <w:tc>
          <w:tcPr>
            <w:tcW w:w="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right"/>
              <w:ind w:right="7"/>
              <w:spacing w:after="0"/>
              <w:rPr>
                <w:sz w:val="20"/>
                <w:szCs w:val="20"/>
                <w:color w:val="auto"/>
              </w:rPr>
            </w:pPr>
            <w:r>
              <w:rPr>
                <w:rFonts w:ascii="Times New Roman" w:cs="Times New Roman" w:eastAsia="Times New Roman" w:hAnsi="Times New Roman"/>
                <w:sz w:val="17"/>
                <w:szCs w:val="17"/>
                <w:color w:val="0000FF"/>
              </w:rPr>
              <w:t>16,563</w:t>
            </w:r>
            <w:r>
              <w:rPr>
                <w:rFonts w:ascii="Times New Roman" w:cs="Times New Roman" w:eastAsia="Times New Roman" w:hAnsi="Times New Roman"/>
                <w:sz w:val="22"/>
                <w:szCs w:val="22"/>
                <w:color w:val="008000"/>
                <w:vertAlign w:val="superscript"/>
              </w:rPr>
              <w:t>(18)</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vMerge w:val="restart"/>
          </w:tcPr>
          <w:p>
            <w:pPr>
              <w:jc w:val="center"/>
              <w:ind w:left="9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39.8</w:t>
            </w:r>
            <w:r>
              <w:rPr>
                <w:rFonts w:ascii="Times New Roman" w:cs="Times New Roman" w:eastAsia="Times New Roman" w:hAnsi="Times New Roman"/>
                <w:sz w:val="22"/>
                <w:szCs w:val="22"/>
                <w:color w:val="008000"/>
                <w:w w:val="91"/>
                <w:vertAlign w:val="superscript"/>
              </w:rPr>
              <w:t>(18)</w:t>
            </w:r>
          </w:p>
        </w:tc>
        <w:tc>
          <w:tcPr>
            <w:tcW w:w="8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489,932</w:t>
            </w:r>
          </w:p>
        </w:tc>
        <w:tc>
          <w:tcPr>
            <w:tcW w:w="4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5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(1)(18)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100" w:type="dxa"/>
            <w:vAlign w:val="bottom"/>
            <w:tcBorders>
              <w:top w:val="single" w:sz="8" w:color="2C2C2C"/>
            </w:tcBorders>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02/06/2026</w:t>
            </w:r>
          </w:p>
        </w:tc>
        <w:tc>
          <w:tcPr>
            <w:tcW w:w="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right"/>
              <w:ind w:right="7"/>
              <w:spacing w:after="0"/>
              <w:rPr>
                <w:sz w:val="20"/>
                <w:szCs w:val="20"/>
                <w:color w:val="auto"/>
              </w:rPr>
            </w:pPr>
            <w:r>
              <w:rPr>
                <w:rFonts w:ascii="Times New Roman" w:cs="Times New Roman" w:eastAsia="Times New Roman" w:hAnsi="Times New Roman"/>
                <w:sz w:val="17"/>
                <w:szCs w:val="17"/>
                <w:color w:val="0000FF"/>
              </w:rPr>
              <w:t>11,183</w:t>
            </w:r>
            <w:r>
              <w:rPr>
                <w:rFonts w:ascii="Times New Roman" w:cs="Times New Roman" w:eastAsia="Times New Roman" w:hAnsi="Times New Roman"/>
                <w:sz w:val="22"/>
                <w:szCs w:val="22"/>
                <w:color w:val="008000"/>
                <w:vertAlign w:val="superscript"/>
              </w:rPr>
              <w:t>(19)</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vMerge w:val="restart"/>
          </w:tcPr>
          <w:p>
            <w:pPr>
              <w:jc w:val="center"/>
              <w:ind w:left="7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35.97</w:t>
            </w:r>
            <w:r>
              <w:rPr>
                <w:rFonts w:ascii="Times New Roman" w:cs="Times New Roman" w:eastAsia="Times New Roman" w:hAnsi="Times New Roman"/>
                <w:sz w:val="22"/>
                <w:szCs w:val="22"/>
                <w:color w:val="008000"/>
                <w:w w:val="94"/>
                <w:vertAlign w:val="superscript"/>
              </w:rPr>
              <w:t>(19)</w:t>
            </w:r>
          </w:p>
        </w:tc>
        <w:tc>
          <w:tcPr>
            <w:tcW w:w="8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501,115</w:t>
            </w:r>
          </w:p>
        </w:tc>
        <w:tc>
          <w:tcPr>
            <w:tcW w:w="4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5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(1)(19)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$0.00001</w:t>
            </w:r>
          </w:p>
        </w:tc>
        <w:tc>
          <w:tcPr>
            <w:tcW w:w="1100" w:type="dxa"/>
            <w:vAlign w:val="bottom"/>
            <w:tcBorders>
              <w:top w:val="single" w:sz="8" w:color="2C2C2C"/>
            </w:tcBorders>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02/06/2026</w:t>
            </w:r>
          </w:p>
        </w:tc>
        <w:tc>
          <w:tcPr>
            <w:tcW w:w="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right"/>
              <w:ind w:right="7"/>
              <w:spacing w:after="0"/>
              <w:rPr>
                <w:sz w:val="20"/>
                <w:szCs w:val="20"/>
                <w:color w:val="auto"/>
              </w:rPr>
            </w:pPr>
            <w:r>
              <w:rPr>
                <w:rFonts w:ascii="Times New Roman" w:cs="Times New Roman" w:eastAsia="Times New Roman" w:hAnsi="Times New Roman"/>
                <w:sz w:val="17"/>
                <w:szCs w:val="17"/>
                <w:color w:val="0000FF"/>
              </w:rPr>
              <w:t>19,338</w:t>
            </w:r>
            <w:r>
              <w:rPr>
                <w:rFonts w:ascii="Times New Roman" w:cs="Times New Roman" w:eastAsia="Times New Roman" w:hAnsi="Times New Roman"/>
                <w:sz w:val="22"/>
                <w:szCs w:val="22"/>
                <w:color w:val="008000"/>
                <w:vertAlign w:val="superscript"/>
              </w:rPr>
              <w:t>(20)</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vMerge w:val="restart"/>
          </w:tcPr>
          <w:p>
            <w:pPr>
              <w:jc w:val="center"/>
              <w:ind w:left="7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36.55</w:t>
            </w:r>
            <w:r>
              <w:rPr>
                <w:rFonts w:ascii="Times New Roman" w:cs="Times New Roman" w:eastAsia="Times New Roman" w:hAnsi="Times New Roman"/>
                <w:sz w:val="22"/>
                <w:szCs w:val="22"/>
                <w:color w:val="008000"/>
                <w:w w:val="94"/>
                <w:vertAlign w:val="superscript"/>
              </w:rPr>
              <w:t>(20)</w:t>
            </w:r>
          </w:p>
        </w:tc>
        <w:tc>
          <w:tcPr>
            <w:tcW w:w="8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520,453</w:t>
            </w:r>
          </w:p>
        </w:tc>
        <w:tc>
          <w:tcPr>
            <w:tcW w:w="4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5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(1)(20)</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0" w:type="dxa"/>
            <w:vAlign w:val="bottom"/>
            <w:gridSpan w:val="19"/>
          </w:tcPr>
          <w:p>
            <w:pPr>
              <w:jc w:val="center"/>
              <w:ind w:righ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9. Number of    10.</w:t>
            </w:r>
          </w:p>
        </w:tc>
        <w:tc>
          <w:tcPr>
            <w:tcW w:w="5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10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0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0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1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SUVRETTA CAPITAL MANAGEMENT, LLC</w:t>
              </w:r>
            </w:hyperlink>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540 MADISON AVENUE</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7TH FLOOR</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gridSpan w:val="2"/>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Cowen Aaron</w:t>
              </w:r>
            </w:hyperlink>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SUVRETTA CAPITAL MANAGEMENT, LLC</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540 MADISON AVENUE, 7TH FLOOR</w:t>
            </w: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gridSpan w:val="2"/>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Averill Master Fund, Ltd.</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SUVRETTA CAPITAL MANAGEMENT, LLC</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540 MADISON AVENUE, 7TH FLOOR</w:t>
            </w: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gridSpan w:val="2"/>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Averill Madison Master Fund, Ltd.</w:t>
              </w:r>
            </w:hyperlink>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-7806690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SUVRETTA CAPITAL MANAGEMENT, LLC</w:t>
      </w:r>
    </w:p>
    <w:p>
      <w:pPr>
        <w:sectPr>
          <w:pgSz w:w="11900" w:h="16838" w:orient="portrait"/>
          <w:cols w:equalWidth="0" w:num="1">
            <w:col w:w="11080"/>
          </w:cols>
          <w:pgMar w:left="460" w:top="191" w:right="359" w:bottom="0" w:gutter="0" w:footer="0" w:header="0"/>
        </w:sectPr>
      </w:pPr>
    </w:p>
    <w:bookmarkStart w:id="2" w:name="page3"/>
    <w:bookmarkEnd w:id="2"/>
    <w:p>
      <w:pPr>
        <w:ind w:left="80"/>
        <w:spacing w:after="0"/>
        <w:rPr>
          <w:sz w:val="20"/>
          <w:szCs w:val="20"/>
          <w:color w:val="auto"/>
        </w:rPr>
      </w:pPr>
      <w:r>
        <w:rPr>
          <w:rFonts w:ascii="Times New Roman" w:cs="Times New Roman" w:eastAsia="Times New Roman" w:hAnsi="Times New Roman"/>
          <w:sz w:val="17"/>
          <w:szCs w:val="17"/>
          <w:color w:val="0000FF"/>
        </w:rPr>
        <w:t>540 MADISON AVENUE, 7TH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-114300</wp:posOffset>
            </wp:positionV>
            <wp:extent cx="2809240" cy="951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09240" cy="951865"/>
                    </a:xfrm>
                    <a:prstGeom prst="rect">
                      <a:avLst/>
                    </a:prstGeom>
                    <a:noFill/>
                  </pic:spPr>
                </pic:pic>
              </a:graphicData>
            </a:graphic>
          </wp:anchor>
        </w:drawing>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0180"/>
          </w:cols>
          <w:pgMar w:left="500" w:top="125" w:right="1219" w:bottom="1440" w:gutter="0" w:footer="0" w:header="0"/>
        </w:sectPr>
      </w:pPr>
    </w:p>
    <w:p>
      <w:pPr>
        <w:spacing w:after="0" w:line="50" w:lineRule="exact"/>
        <w:rPr>
          <w:sz w:val="20"/>
          <w:szCs w:val="20"/>
          <w:color w:val="auto"/>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Notes are included on Exhibit 99.1.</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Exhibit List: Exhibit 99.1 - Explanation of Responses Exhibit 99.2 - Joint Filer Information Exhibit 99.3 - Joint Filers' Signature</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Suvretta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7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Nathanson,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&amp;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25" w:right="121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Explanation of Responses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320" w:right="20" w:hanging="313"/>
        <w:spacing w:after="0" w:line="249"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4 is filed on behalf of Averill Master Fund, Ltd., a Cayman Islands exempted company (“Averill Master Fund”), Averill Madison Master Fund, Ltd., a Cayman Islands exempted company (“Averill Madison Master Fund” and, together with the Averill Master Fund, the “Funds”), Suvretta Capital Management, LLC, a Delaware limited liability company (“Suvretta Capital”), and Aaron Cowen (“Mr. Cowen”) (collectively, the “Reporting Persons”). Suvretta Capital is the investment manager of the Funds. Mr. Cowen may be deemed to control Suvretta Capital and therefore may be deemed to beneficially own shares of Common Stock (as defined below) held by the Funds. Mr. Cowen disclaims beneficial ownership of the shares of Common Stock reported herein except to the extent of any indirect pecuniary interest therein. The securities reported herein are directly held by either Averill Master Fund or Averill Madison Master Fund as noted herein. Each of the Funds and Suvretta Capital may be deemed a director by deputization by virtue of David Friedman, M.D., a Managing Director and Senior Analyst at Suvretta Capital, serving on the board of directors of the Issuer (as defined below).</w:t>
      </w:r>
    </w:p>
    <w:p>
      <w:pPr>
        <w:spacing w:after="0" w:line="5" w:lineRule="exact"/>
        <w:rPr>
          <w:rFonts w:ascii="Times New Roman" w:cs="Times New Roman" w:eastAsia="Times New Roman" w:hAnsi="Times New Roman"/>
          <w:sz w:val="18"/>
          <w:szCs w:val="18"/>
          <w:color w:val="auto"/>
        </w:rPr>
      </w:pPr>
    </w:p>
    <w:p>
      <w:pPr>
        <w:ind w:left="320" w:right="140" w:hanging="264"/>
        <w:spacing w:after="0" w:line="247" w:lineRule="auto"/>
        <w:tabs>
          <w:tab w:leader="none" w:pos="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in column 4 is a weighted average price. These shares of common stock, par value $0.00001 per share (the “Common Stock”), of Veradermics, Incorporated (the “Issuer”) were purchased by Averill Master Fund in multiple open market transactions at prices ranging from $33.50 to $34.50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ind w:left="320" w:right="20" w:hanging="264"/>
        <w:spacing w:after="0" w:line="247" w:lineRule="auto"/>
        <w:tabs>
          <w:tab w:leader="none" w:pos="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in column 4 is a weighted average price. These shares of Common Stock were purchased by Averill Master Fund in multiple open market transactions at prices ranging from $34.53 to $35.42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ind w:left="320" w:right="20" w:hanging="264"/>
        <w:spacing w:after="0" w:line="247" w:lineRule="auto"/>
        <w:tabs>
          <w:tab w:leader="none" w:pos="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in column 4 is a weighted average price. These shares of Common Stock were purchased by Averill Master Fund in multiple open market transactions at prices ranging from $35.55 to $36.55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ind w:left="320" w:right="20" w:hanging="264"/>
        <w:spacing w:after="0" w:line="247" w:lineRule="auto"/>
        <w:tabs>
          <w:tab w:leader="none" w:pos="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in column 4 is a weighted average price. These shares of Common Stock were purchased by Averill Master Fund in multiple open market transactions at prices ranging from $36.56 to $37.56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ind w:left="320" w:right="20" w:hanging="264"/>
        <w:spacing w:after="0" w:line="247" w:lineRule="auto"/>
        <w:tabs>
          <w:tab w:leader="none" w:pos="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in column 4 is a weighted average price. These shares of Common Stock were purchased by Averill Master Fund in multiple open market transactions at prices ranging from $37.57 to $38.57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ind w:left="320" w:right="20" w:hanging="264"/>
        <w:spacing w:after="0" w:line="247" w:lineRule="auto"/>
        <w:tabs>
          <w:tab w:leader="none" w:pos="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in column 4 is a weighted average price. These shares of Common Stock were purchased by Averill Master Fund in multiple open market transactions at prices ranging from $38.58 to $39.50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ind w:left="320" w:right="220" w:hanging="264"/>
        <w:spacing w:after="0" w:line="247" w:lineRule="auto"/>
        <w:tabs>
          <w:tab w:leader="none" w:pos="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in column 4 is a weighted average price. These shares of Common Stock were purchased by Averill Madison Master Fund in multiple open market transactions at prices ranging from $33.50 to $34.50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ind w:left="320" w:right="220" w:hanging="264"/>
        <w:spacing w:after="0" w:line="247" w:lineRule="auto"/>
        <w:tabs>
          <w:tab w:leader="none" w:pos="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in column 4 is a weighted average price. These shares of Common Stock were purchased by Averill Madison Master Fund in multiple open market transactions at prices ranging from $34.53 to $35.42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 w:lineRule="exact"/>
        <w:rPr>
          <w:sz w:val="20"/>
          <w:szCs w:val="20"/>
          <w:color w:val="auto"/>
        </w:rPr>
      </w:pPr>
    </w:p>
    <w:p>
      <w:pPr>
        <w:ind w:left="320" w:right="220" w:hanging="300"/>
        <w:spacing w:after="0" w:line="247" w:lineRule="auto"/>
        <w:rPr>
          <w:sz w:val="20"/>
          <w:szCs w:val="20"/>
          <w:color w:val="auto"/>
        </w:rPr>
      </w:pPr>
      <w:r>
        <w:rPr>
          <w:rFonts w:ascii="Times New Roman" w:cs="Times New Roman" w:eastAsia="Times New Roman" w:hAnsi="Times New Roman"/>
          <w:sz w:val="18"/>
          <w:szCs w:val="18"/>
          <w:color w:val="auto"/>
        </w:rPr>
        <w:t>(10)The price reported in column 4 is a weighted average price. These shares of Common Stock were purchased by Averill Madison Master Fund in multiple open market transactions at prices ranging from $35.55 to $36.55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 w:lineRule="exact"/>
        <w:rPr>
          <w:sz w:val="20"/>
          <w:szCs w:val="20"/>
          <w:color w:val="auto"/>
        </w:rPr>
      </w:pPr>
    </w:p>
    <w:p>
      <w:pPr>
        <w:ind w:left="320" w:right="220" w:hanging="297"/>
        <w:spacing w:after="0" w:line="247" w:lineRule="auto"/>
        <w:rPr>
          <w:sz w:val="20"/>
          <w:szCs w:val="20"/>
          <w:color w:val="auto"/>
        </w:rPr>
      </w:pPr>
      <w:r>
        <w:rPr>
          <w:rFonts w:ascii="Times New Roman" w:cs="Times New Roman" w:eastAsia="Times New Roman" w:hAnsi="Times New Roman"/>
          <w:sz w:val="18"/>
          <w:szCs w:val="18"/>
          <w:color w:val="auto"/>
        </w:rPr>
        <w:t>(11)The price reported in column 4 is a weighted average price. These shares of Common Stock were purchased by Averill Madison Master Fund in multiple open market transactions at prices ranging from $36.56 to $37.56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 w:lineRule="exact"/>
        <w:rPr>
          <w:sz w:val="20"/>
          <w:szCs w:val="20"/>
          <w:color w:val="auto"/>
        </w:rPr>
      </w:pPr>
    </w:p>
    <w:p>
      <w:pPr>
        <w:ind w:left="320" w:right="220" w:hanging="300"/>
        <w:spacing w:after="0" w:line="247" w:lineRule="auto"/>
        <w:rPr>
          <w:sz w:val="20"/>
          <w:szCs w:val="20"/>
          <w:color w:val="auto"/>
        </w:rPr>
      </w:pPr>
      <w:r>
        <w:rPr>
          <w:rFonts w:ascii="Times New Roman" w:cs="Times New Roman" w:eastAsia="Times New Roman" w:hAnsi="Times New Roman"/>
          <w:sz w:val="18"/>
          <w:szCs w:val="18"/>
          <w:color w:val="auto"/>
        </w:rPr>
        <w:t>(12)The price reported in column 4 is a weighted average price. These shares of Common Stock were purchased by Averill Madison Master Fund in multiple open market transactions at prices ranging from $37.57 to $38.57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 w:lineRule="exact"/>
        <w:rPr>
          <w:sz w:val="20"/>
          <w:szCs w:val="20"/>
          <w:color w:val="auto"/>
        </w:rPr>
      </w:pPr>
    </w:p>
    <w:p>
      <w:pPr>
        <w:ind w:left="320" w:right="220" w:hanging="300"/>
        <w:spacing w:after="0" w:line="247" w:lineRule="auto"/>
        <w:rPr>
          <w:sz w:val="20"/>
          <w:szCs w:val="20"/>
          <w:color w:val="auto"/>
        </w:rPr>
      </w:pPr>
      <w:r>
        <w:rPr>
          <w:rFonts w:ascii="Times New Roman" w:cs="Times New Roman" w:eastAsia="Times New Roman" w:hAnsi="Times New Roman"/>
          <w:sz w:val="18"/>
          <w:szCs w:val="18"/>
          <w:color w:val="auto"/>
        </w:rPr>
        <w:t>(13)The price reported in column 4 is a weighted average price. These shares of Common Stock were purchased by Averill Madison Master Fund in multiple open market transactions at prices ranging from $38.58 to $39.50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 w:lineRule="exact"/>
        <w:rPr>
          <w:sz w:val="20"/>
          <w:szCs w:val="20"/>
          <w:color w:val="auto"/>
        </w:rPr>
      </w:pPr>
    </w:p>
    <w:p>
      <w:pPr>
        <w:ind w:left="320" w:right="220" w:hanging="300"/>
        <w:spacing w:after="0" w:line="247" w:lineRule="auto"/>
        <w:rPr>
          <w:sz w:val="20"/>
          <w:szCs w:val="20"/>
          <w:color w:val="auto"/>
        </w:rPr>
      </w:pPr>
      <w:r>
        <w:rPr>
          <w:rFonts w:ascii="Times New Roman" w:cs="Times New Roman" w:eastAsia="Times New Roman" w:hAnsi="Times New Roman"/>
          <w:sz w:val="18"/>
          <w:szCs w:val="18"/>
          <w:color w:val="auto"/>
        </w:rPr>
        <w:t>(14)The price reported in column 4 is a weighted average price. These shares of Common Stock were purchased by Averill Madison Master Fund in multiple open market transactions at prices ranging from $35.14 to $36.14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 w:lineRule="exact"/>
        <w:rPr>
          <w:sz w:val="20"/>
          <w:szCs w:val="20"/>
          <w:color w:val="auto"/>
        </w:rPr>
      </w:pPr>
    </w:p>
    <w:p>
      <w:pPr>
        <w:ind w:left="320" w:right="220" w:hanging="300"/>
        <w:spacing w:after="0" w:line="247" w:lineRule="auto"/>
        <w:rPr>
          <w:sz w:val="20"/>
          <w:szCs w:val="20"/>
          <w:color w:val="auto"/>
        </w:rPr>
      </w:pPr>
      <w:r>
        <w:rPr>
          <w:rFonts w:ascii="Times New Roman" w:cs="Times New Roman" w:eastAsia="Times New Roman" w:hAnsi="Times New Roman"/>
          <w:sz w:val="18"/>
          <w:szCs w:val="18"/>
          <w:color w:val="auto"/>
        </w:rPr>
        <w:t>(15)The price reported in column 4 is a weighted average price. These shares of Common Stock were purchased by Averill Madison Master Fund in multiple open market transactions at prices ranging from $36.18 to $37.18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 w:lineRule="exact"/>
        <w:rPr>
          <w:sz w:val="20"/>
          <w:szCs w:val="20"/>
          <w:color w:val="auto"/>
        </w:rPr>
      </w:pPr>
    </w:p>
    <w:p>
      <w:pPr>
        <w:ind w:left="320" w:right="220" w:hanging="300"/>
        <w:spacing w:after="0" w:line="247" w:lineRule="auto"/>
        <w:rPr>
          <w:sz w:val="20"/>
          <w:szCs w:val="20"/>
          <w:color w:val="auto"/>
        </w:rPr>
      </w:pPr>
      <w:r>
        <w:rPr>
          <w:rFonts w:ascii="Times New Roman" w:cs="Times New Roman" w:eastAsia="Times New Roman" w:hAnsi="Times New Roman"/>
          <w:sz w:val="18"/>
          <w:szCs w:val="18"/>
          <w:color w:val="auto"/>
        </w:rPr>
        <w:t>(16)The price reported in column 4 is a weighted average price. These shares of Common Stock were purchased by Averill Madison Master Fund in multiple open market transactions at prices ranging from $37.19 to $38.18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 w:lineRule="exact"/>
        <w:rPr>
          <w:sz w:val="20"/>
          <w:szCs w:val="20"/>
          <w:color w:val="auto"/>
        </w:rPr>
      </w:pPr>
    </w:p>
    <w:p>
      <w:pPr>
        <w:ind w:left="320" w:right="220" w:hanging="300"/>
        <w:spacing w:after="0" w:line="283" w:lineRule="auto"/>
        <w:rPr>
          <w:sz w:val="20"/>
          <w:szCs w:val="20"/>
          <w:color w:val="auto"/>
        </w:rPr>
      </w:pPr>
      <w:r>
        <w:rPr>
          <w:rFonts w:ascii="Times New Roman" w:cs="Times New Roman" w:eastAsia="Times New Roman" w:hAnsi="Times New Roman"/>
          <w:sz w:val="17"/>
          <w:szCs w:val="17"/>
          <w:color w:val="auto"/>
        </w:rPr>
        <w:t>(17)The price reported in column 4 is a weighted average price. These shares of Common Stock were purchased by Averill Madison Master Fund in multiple open market transactions at prices ranging from $38.20 to $39.20 per share. The Reporting Persons undertake to provide to the Issuer, any</w:t>
      </w:r>
    </w:p>
    <w:p>
      <w:pPr>
        <w:sectPr>
          <w:pgSz w:w="11900" w:h="16838" w:orient="portrait"/>
          <w:cols w:equalWidth="0" w:num="1">
            <w:col w:w="10980"/>
          </w:cols>
          <w:pgMar w:left="460" w:top="119" w:right="459" w:bottom="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t>security holder of the Issuer or the staff of the Securities and Exchange Commission, upon request, full information regarding the number of shares purchased at each separate price within the range set forth in this footnote.</w:t>
      </w:r>
    </w:p>
    <w:p>
      <w:pPr>
        <w:ind w:hanging="300"/>
        <w:spacing w:after="0" w:line="247" w:lineRule="auto"/>
        <w:rPr>
          <w:sz w:val="20"/>
          <w:szCs w:val="20"/>
          <w:color w:val="auto"/>
        </w:rPr>
      </w:pPr>
      <w:r>
        <w:rPr>
          <w:rFonts w:ascii="Times New Roman" w:cs="Times New Roman" w:eastAsia="Times New Roman" w:hAnsi="Times New Roman"/>
          <w:sz w:val="18"/>
          <w:szCs w:val="18"/>
          <w:color w:val="auto"/>
        </w:rPr>
        <w:t>(18)The price reported in column 4 is a weighted average price. These shares of Common Stock were purchased by Averill Madison Master Fund in multiple open market transactions at prices ranging from $39.21 to $40.00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 w:lineRule="exact"/>
        <w:rPr>
          <w:sz w:val="20"/>
          <w:szCs w:val="20"/>
          <w:color w:val="auto"/>
        </w:rPr>
      </w:pPr>
    </w:p>
    <w:p>
      <w:pPr>
        <w:ind w:hanging="300"/>
        <w:spacing w:after="0" w:line="247" w:lineRule="auto"/>
        <w:rPr>
          <w:sz w:val="20"/>
          <w:szCs w:val="20"/>
          <w:color w:val="auto"/>
        </w:rPr>
      </w:pPr>
      <w:r>
        <w:rPr>
          <w:rFonts w:ascii="Times New Roman" w:cs="Times New Roman" w:eastAsia="Times New Roman" w:hAnsi="Times New Roman"/>
          <w:sz w:val="18"/>
          <w:szCs w:val="18"/>
          <w:color w:val="auto"/>
        </w:rPr>
        <w:t>(19)The price reported in column 4 is a weighted average price. These shares of Common Stock were purchased by Averill Madison Master Fund in multiple open market transactions at prices ranging from $35.26 to $36.26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 w:lineRule="exact"/>
        <w:rPr>
          <w:sz w:val="20"/>
          <w:szCs w:val="20"/>
          <w:color w:val="auto"/>
        </w:rPr>
      </w:pPr>
    </w:p>
    <w:p>
      <w:pPr>
        <w:ind w:hanging="300"/>
        <w:spacing w:after="0" w:line="249" w:lineRule="auto"/>
        <w:rPr>
          <w:sz w:val="20"/>
          <w:szCs w:val="20"/>
          <w:color w:val="auto"/>
        </w:rPr>
      </w:pPr>
      <w:r>
        <w:rPr>
          <w:rFonts w:ascii="Times New Roman" w:cs="Times New Roman" w:eastAsia="Times New Roman" w:hAnsi="Times New Roman"/>
          <w:sz w:val="18"/>
          <w:szCs w:val="18"/>
          <w:color w:val="auto"/>
        </w:rPr>
        <w:t>(20)The price reported in column 4 is a weighted average price. These shares of Common Stock were purchased by Averill Madison Master Fund in multiple open market transactions at prices ranging from $36.26 to $37.26 per share.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0440"/>
          </w:cols>
          <w:pgMar w:left="780" w:top="121" w:right="6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Filers:</w:t>
      </w:r>
    </w:p>
    <w:p>
      <w:pPr>
        <w:sectPr>
          <w:pgSz w:w="11900" w:h="16838" w:orient="portrait"/>
          <w:cols w:equalWidth="0" w:num="1">
            <w:col w:w="10980"/>
          </w:cols>
          <w:pgMar w:left="460" w:top="121" w:right="45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Name: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Suvretta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 Madison Avenue, 7th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1360" w:space="720"/>
            <w:col w:w="8900"/>
          </w:cols>
          <w:pgMar w:left="460" w:top="12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2. Name: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Suvretta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 Madison Avenue, 7th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1360" w:space="720"/>
            <w:col w:w="8900"/>
          </w:cols>
          <w:pgMar w:left="460" w:top="12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3. Name: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Averill Madison Master Fund,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Suvretta Capital Management,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 Madison Avenue, 7th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ectPr>
          <w:pgSz w:w="11900" w:h="16838" w:orient="portrait"/>
          <w:cols w:equalWidth="0" w:num="2">
            <w:col w:w="1360" w:space="720"/>
            <w:col w:w="8900"/>
          </w:cols>
          <w:pgMar w:left="460" w:top="121" w:right="45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Joint Filers’ Signatures</w:t>
            </w:r>
          </w:p>
        </w:tc>
      </w:tr>
      <w:tr>
        <w:trPr>
          <w:trHeight w:val="640"/>
        </w:trPr>
        <w:tc>
          <w:tcPr>
            <w:tcW w:w="3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AVERILL MASTER FUND, LTD.</w:t>
            </w:r>
          </w:p>
        </w:tc>
        <w:tc>
          <w:tcPr>
            <w:tcW w:w="3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99"/>
        </w:trPr>
        <w:tc>
          <w:tcPr>
            <w:tcW w:w="3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/s/ Andrew Nathanson</w:t>
            </w:r>
          </w:p>
        </w:tc>
        <w:tc>
          <w:tcPr>
            <w:tcW w:w="34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w w:val="96"/>
              </w:rPr>
              <w:t>Date: February 9, 2026</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215"/>
        </w:trPr>
        <w:tc>
          <w:tcPr>
            <w:tcW w:w="39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Name: Andrew Nathanson</w:t>
            </w:r>
          </w:p>
        </w:tc>
        <w:tc>
          <w:tcPr>
            <w:tcW w:w="34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2"/>
        </w:trPr>
        <w:tc>
          <w:tcPr>
            <w:tcW w:w="39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34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40"/>
        </w:trPr>
        <w:tc>
          <w:tcPr>
            <w:tcW w:w="3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AVERILL MADISON MASTER FUND, LTD.</w:t>
            </w:r>
          </w:p>
        </w:tc>
        <w:tc>
          <w:tcPr>
            <w:tcW w:w="3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99"/>
        </w:trPr>
        <w:tc>
          <w:tcPr>
            <w:tcW w:w="3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/s/ Andrew Nathanson</w:t>
            </w:r>
          </w:p>
        </w:tc>
        <w:tc>
          <w:tcPr>
            <w:tcW w:w="34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w w:val="96"/>
              </w:rPr>
              <w:t>Date: February 9, 2026</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215"/>
        </w:trPr>
        <w:tc>
          <w:tcPr>
            <w:tcW w:w="39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Name: Andrew Nathanson</w:t>
            </w:r>
          </w:p>
        </w:tc>
        <w:tc>
          <w:tcPr>
            <w:tcW w:w="34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2"/>
        </w:trPr>
        <w:tc>
          <w:tcPr>
            <w:tcW w:w="39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34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599"/>
        </w:trPr>
        <w:tc>
          <w:tcPr>
            <w:tcW w:w="3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/s/ Aaron Cowen</w:t>
            </w:r>
          </w:p>
        </w:tc>
        <w:tc>
          <w:tcPr>
            <w:tcW w:w="34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w w:val="96"/>
              </w:rPr>
              <w:t>Date: February 9, 2026</w:t>
            </w:r>
          </w:p>
        </w:tc>
      </w:tr>
      <w:tr>
        <w:trPr>
          <w:trHeight w:val="20"/>
        </w:trPr>
        <w:tc>
          <w:tcPr>
            <w:tcW w:w="260" w:type="dxa"/>
            <w:vAlign w:val="bottom"/>
          </w:tcPr>
          <w:p>
            <w:pPr>
              <w:spacing w:after="0" w:line="20" w:lineRule="exact"/>
              <w:rPr>
                <w:sz w:val="1"/>
                <w:szCs w:val="1"/>
                <w:color w:val="auto"/>
              </w:rPr>
            </w:pPr>
          </w:p>
        </w:tc>
        <w:tc>
          <w:tcPr>
            <w:tcW w:w="3080" w:type="dxa"/>
            <w:vAlign w:val="bottom"/>
            <w:gridSpan w:val="4"/>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234"/>
        </w:trPr>
        <w:tc>
          <w:tcPr>
            <w:tcW w:w="39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Name: Aaron Cowen</w:t>
            </w:r>
          </w:p>
        </w:tc>
        <w:tc>
          <w:tcPr>
            <w:tcW w:w="34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980"/>
      </w:cols>
      <w:pgMar w:left="46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13" Type="http://schemas.openxmlformats.org/officeDocument/2006/relationships/hyperlink" Target="http://www.sec.gov/cgi-bin/browse-edgar?action=getcompany&amp;CIK=0001569064" TargetMode="External"/><Relationship Id="rId14" Type="http://schemas.openxmlformats.org/officeDocument/2006/relationships/hyperlink" Target="http://www.sec.gov/cgi-bin/browse-edgar?action=getcompany&amp;CIK=0001827635" TargetMode="External"/><Relationship Id="rId16" Type="http://schemas.openxmlformats.org/officeDocument/2006/relationships/hyperlink" Target="http://www.sec.gov/cgi-bin/browse-edgar?action=getcompany&amp;CIK=0001869640" TargetMode="External"/><Relationship Id="rId17" Type="http://schemas.openxmlformats.org/officeDocument/2006/relationships/hyperlink" Target="http://www.sec.gov/cgi-bin/browse-edgar?action=getcompany&amp;CIK=0001939329" TargetMode="External"/><Relationship Id="rId18" Type="http://schemas.openxmlformats.org/officeDocument/2006/relationships/hyperlink" Target="http://www.sec.gov/cgi-bin/browse-edgar?action=getcompany&amp;CIK=00020212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2026-02-09T17:31:40Z</dcterms:created>
  <dcterms:modified xsi:type="dcterms:W3CDTF">2026-02-09T17:31:40Z</dcterms:modified>
</cp:coreProperties>
</file>