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right"/>
        <w:rPr/>
      </w:pPr>
      <w:r>
        <w:rPr/>
      </w:r>
    </w:p>
    <w:p>
      <w:pPr>
        <w:pStyle w:val="TextBody"/>
        <w:bidi w:val="0"/>
        <w:spacing w:lineRule="auto" w:line="288" w:before="0" w:after="0"/>
        <w:jc w:val="right"/>
        <w:rPr>
          <w:rFonts w:ascii="Trade Gothic;sans-serif" w:hAnsi="Trade Gothic;sans-serif"/>
          <w:b/>
          <w:color w:val="000000"/>
          <w:sz w:val="20"/>
        </w:rPr>
      </w:pPr>
      <w:r>
        <w:rPr>
          <w:rFonts w:ascii="Trade Gothic;sans-serif" w:hAnsi="Trade Gothic;sans-serif"/>
          <w:b/>
          <w:color w:val="000000"/>
          <w:sz w:val="20"/>
        </w:rPr>
        <w:t>Filed pursuant to Rule 424(b)(3)</w:t>
      </w:r>
    </w:p>
    <w:p>
      <w:pPr>
        <w:pStyle w:val="TextBody"/>
        <w:bidi w:val="0"/>
        <w:spacing w:lineRule="auto" w:line="288" w:before="0" w:after="0"/>
        <w:jc w:val="right"/>
        <w:rPr>
          <w:rFonts w:ascii="Trade Gothic;sans-serif" w:hAnsi="Trade Gothic;sans-serif"/>
          <w:b/>
          <w:color w:val="000000"/>
          <w:sz w:val="20"/>
        </w:rPr>
      </w:pPr>
      <w:r>
        <w:rPr>
          <w:rFonts w:ascii="Trade Gothic;sans-serif" w:hAnsi="Trade Gothic;sans-serif"/>
          <w:b/>
          <w:color w:val="000000"/>
          <w:sz w:val="20"/>
        </w:rPr>
        <w:t>Registration No 333-298150</w:t>
      </w:r>
    </w:p>
    <w:p>
      <w:pPr>
        <w:pStyle w:val="TextBody"/>
        <w:bidi w:val="0"/>
        <w:spacing w:lineRule="auto" w:line="288" w:before="0" w:after="180"/>
        <w:jc w:val="left"/>
        <w:rPr>
          <w:rFonts w:ascii="Trade Gothic;sans-serif" w:hAnsi="Trade Gothic;sans-serif"/>
          <w:b/>
          <w:color w:val="000000"/>
          <w:sz w:val="19"/>
        </w:rPr>
      </w:pPr>
      <w:r>
        <w:rPr>
          <w:rFonts w:ascii="Trade Gothic;sans-serif" w:hAnsi="Trade Gothic;sans-serif"/>
          <w:b/>
          <w:color w:val="000000"/>
          <w:sz w:val="19"/>
        </w:rPr>
        <w:t>PROSPECTUS</w:t>
      </w:r>
    </w:p>
    <w:p>
      <w:pPr>
        <w:pStyle w:val="TextBody"/>
        <w:bidi w:val="0"/>
        <w:spacing w:lineRule="auto" w:line="288" w:before="0" w:after="0"/>
        <w:jc w:val="center"/>
        <w:rPr>
          <w:rFonts w:ascii="Trade Gothic;sans-serif" w:hAnsi="Trade Gothic;sans-serif"/>
          <w:b/>
          <w:color w:val="000000"/>
          <w:sz w:val="28"/>
        </w:rPr>
      </w:pPr>
      <w:r>
        <w:rPr>
          <w:rFonts w:ascii="Trade Gothic;sans-serif" w:hAnsi="Trade Gothic;sans-serif"/>
          <w:b/>
          <w:color w:val="000000"/>
          <w:sz w:val="28"/>
        </w:rPr>
        <w:t>Up to 16,772,058 Shares of Common Stock</w:t>
      </w:r>
    </w:p>
    <w:p>
      <w:pPr>
        <w:pStyle w:val="TextBody"/>
        <w:bidi w:val="0"/>
        <w:spacing w:lineRule="auto" w:line="288" w:before="0" w:after="0"/>
        <w:jc w:val="center"/>
        <w:rPr>
          <w:rFonts w:ascii="Trade Gothic;sans-serif" w:hAnsi="Trade Gothic;sans-serif"/>
          <w:b/>
          <w:color w:val="000000"/>
          <w:sz w:val="28"/>
        </w:rPr>
      </w:pPr>
      <w:r>
        <w:rPr>
          <w:rFonts w:ascii="Trade Gothic;sans-serif" w:hAnsi="Trade Gothic;sans-serif"/>
          <w:b/>
          <w:color w:val="000000"/>
          <w:sz w:val="28"/>
        </w:rPr>
        <w:t>Up to 300,000 Shares of Common Stock Underlying Pre-Funded Warrants</w:t>
      </w:r>
    </w:p>
    <w:p>
      <w:pPr>
        <w:pStyle w:val="TextBody"/>
        <w:bidi w:val="0"/>
        <w:spacing w:before="0" w:after="0"/>
        <w:jc w:val="center"/>
        <w:rPr/>
      </w:pPr>
      <w:r>
        <w:rPr/>
        <w:drawing>
          <wp:inline distT="0" distB="0" distL="0" distR="0">
            <wp:extent cx="2743200" cy="8382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2743200" cy="838200"/>
                    </a:xfrm>
                    <a:prstGeom prst="rect">
                      <a:avLst/>
                    </a:prstGeom>
                  </pic:spPr>
                </pic:pic>
              </a:graphicData>
            </a:graphic>
          </wp:inline>
        </w:drawing>
      </w:r>
    </w:p>
    <w:p>
      <w:pPr>
        <w:pStyle w:val="TextBody"/>
        <w:bidi w:val="0"/>
        <w:spacing w:lineRule="auto" w:line="288" w:before="0" w:after="240"/>
        <w:jc w:val="center"/>
        <w:rPr>
          <w:rFonts w:ascii="Trade Gothic;sans-serif" w:hAnsi="Trade Gothic;sans-serif"/>
          <w:b/>
          <w:color w:val="000000"/>
          <w:sz w:val="36"/>
        </w:rPr>
      </w:pPr>
      <w:r>
        <w:rPr>
          <w:rFonts w:ascii="Trade Gothic;sans-serif" w:hAnsi="Trade Gothic;sans-serif"/>
          <w:b/>
          <w:color w:val="000000"/>
          <w:sz w:val="36"/>
        </w:rPr>
        <w:t>Veradermics, Incorporated</w:t>
      </w:r>
    </w:p>
    <w:p>
      <w:pPr>
        <w:pStyle w:val="TextBody"/>
        <w:bidi w:val="0"/>
        <w:spacing w:lineRule="auto" w:line="288" w:before="0" w:after="240"/>
        <w:jc w:val="left"/>
        <w:rPr>
          <w:rFonts w:ascii="Trade Gothic;sans-serif" w:hAnsi="Trade Gothic;sans-serif"/>
          <w:b w:val="false"/>
          <w:color w:val="000000"/>
          <w:sz w:val="20"/>
        </w:rPr>
      </w:pPr>
      <w:r>
        <w:rPr>
          <w:rFonts w:ascii="Trade Gothic;sans-serif" w:hAnsi="Trade Gothic;sans-serif"/>
          <w:b w:val="false"/>
          <w:color w:val="000000"/>
          <w:sz w:val="20"/>
        </w:rPr>
        <w:t xml:space="preserve">This prospectus relates to the resale or other disposition from time to time by the selling stockholders identified in this prospectus, including their transferees, pledgees, donees or successors, of up to (i) 16,772,058 shares of common stock and (ii) 300,000 shares of common stock issuable upon the exercise of pre-funded warrants (the “Pre-Funded Warrants”), with an exercise price of $0.00001 per share (collectively, the “Resale Shares”). </w:t>
      </w:r>
    </w:p>
    <w:p>
      <w:pPr>
        <w:pStyle w:val="TextBody"/>
        <w:bidi w:val="0"/>
        <w:spacing w:lineRule="auto" w:line="288" w:before="0" w:after="240"/>
        <w:jc w:val="left"/>
        <w:rPr/>
      </w:pPr>
      <w:r>
        <w:rPr>
          <w:rFonts w:ascii="Trade Gothic;sans-serif" w:hAnsi="Trade Gothic;sans-serif"/>
          <w:b w:val="false"/>
          <w:color w:val="000000"/>
          <w:sz w:val="20"/>
        </w:rPr>
        <w:t>The selling stockholders may, from time to time, sell, transfer or otherwise dispose of any or all of their shares of common stock or interests in shares of common stock on any stock exchange, market or trading facility on which the shares are traded or in private transactions. These dispositions may be at fixed prices, at prevailing market prices at the time of sale, at prices related to the prevailing market price, at varying prices determined at the time of sale, or at negotiated prices. See “</w:t>
      </w:r>
      <w:hyperlink w:anchor="i84c570089d0c41b7a6e7b01f182eda30_52">
        <w:r>
          <w:rPr>
            <w:rStyle w:val="InternetLink"/>
            <w:rFonts w:ascii="Trade Gothic;sans-serif" w:hAnsi="Trade Gothic;sans-serif"/>
            <w:b w:val="false"/>
            <w:color w:val="0000FF"/>
            <w:sz w:val="20"/>
            <w:u w:val="single"/>
          </w:rPr>
          <w:t>Plan of Distribution</w:t>
        </w:r>
      </w:hyperlink>
      <w:r>
        <w:rPr>
          <w:color w:val="000000"/>
        </w:rPr>
        <w:t xml:space="preserve">” </w:t>
      </w:r>
      <w:r>
        <w:rPr>
          <w:rFonts w:ascii="Trade Gothic;sans-serif" w:hAnsi="Trade Gothic;sans-serif"/>
          <w:b w:val="false"/>
          <w:color w:val="000000"/>
          <w:sz w:val="20"/>
        </w:rPr>
        <w:t>which begins on page </w:t>
      </w:r>
      <w:hyperlink w:anchor="i84c570089d0c41b7a6e7b01f182eda30_52">
        <w:r>
          <w:rPr>
            <w:rStyle w:val="InternetLink"/>
            <w:rFonts w:ascii="Trade Gothic;sans-serif" w:hAnsi="Trade Gothic;sans-serif"/>
            <w:b w:val="false"/>
            <w:color w:val="0000FF"/>
            <w:sz w:val="20"/>
            <w:u w:val="single"/>
          </w:rPr>
          <w:t>26</w:t>
        </w:r>
      </w:hyperlink>
      <w:r>
        <w:rPr>
          <w:rFonts w:ascii="Trade Gothic;sans-serif" w:hAnsi="Trade Gothic;sans-serif"/>
          <w:b w:val="false"/>
          <w:color w:val="000000"/>
          <w:sz w:val="20"/>
        </w:rPr>
        <w:t>. We do not know when or in what amount the selling stockholders may dispose of or offer for sale the shares covered by this prospectus.</w:t>
      </w:r>
    </w:p>
    <w:p>
      <w:pPr>
        <w:pStyle w:val="TextBody"/>
        <w:bidi w:val="0"/>
        <w:spacing w:lineRule="auto" w:line="288" w:before="0" w:after="240"/>
        <w:jc w:val="left"/>
        <w:rPr>
          <w:rFonts w:ascii="Trade Gothic;sans-serif" w:hAnsi="Trade Gothic;sans-serif"/>
          <w:b w:val="false"/>
          <w:color w:val="000000"/>
          <w:sz w:val="20"/>
        </w:rPr>
      </w:pPr>
      <w:r>
        <w:rPr>
          <w:rFonts w:ascii="Trade Gothic;sans-serif" w:hAnsi="Trade Gothic;sans-serif"/>
          <w:b w:val="false"/>
          <w:color w:val="000000"/>
          <w:sz w:val="20"/>
        </w:rPr>
        <w:t xml:space="preserve">We are not offering any shares of common stock under this prospectus. We will not receive any of the proceeds from the sale of shares of common stock by the selling stockholders, except with respect to the amounts received by us upon exercise of the Pre-Funded Warrants, to the extent such Pre-Funded Warrants are exercised for cash. </w:t>
      </w:r>
    </w:p>
    <w:p>
      <w:pPr>
        <w:pStyle w:val="TextBody"/>
        <w:bidi w:val="0"/>
        <w:spacing w:lineRule="auto" w:line="288" w:before="0" w:after="240"/>
        <w:jc w:val="left"/>
        <w:rPr>
          <w:rFonts w:ascii="Trade Gothic;sans-serif" w:hAnsi="Trade Gothic;sans-serif"/>
          <w:b w:val="false"/>
          <w:color w:val="000000"/>
          <w:sz w:val="20"/>
        </w:rPr>
      </w:pPr>
      <w:r>
        <w:rPr>
          <w:rFonts w:ascii="Trade Gothic;sans-serif" w:hAnsi="Trade Gothic;sans-serif"/>
          <w:b w:val="false"/>
          <w:color w:val="000000"/>
          <w:sz w:val="20"/>
        </w:rPr>
        <w:t>Our common stock trades on the New York Stock Exchange under the symbol “MANE.” The last reported sale price of our common stock on the New York Stock Exchange on August 13, 2026 was $111.00.</w:t>
      </w:r>
    </w:p>
    <w:p>
      <w:pPr>
        <w:pStyle w:val="TextBody"/>
        <w:bidi w:val="0"/>
        <w:spacing w:lineRule="auto" w:line="288" w:before="0" w:after="240"/>
        <w:jc w:val="left"/>
        <w:rPr/>
      </w:pPr>
      <w:r>
        <w:rPr>
          <w:rFonts w:ascii="Trade Gothic;sans-serif" w:hAnsi="Trade Gothic;sans-serif"/>
          <w:b w:val="false"/>
          <w:color w:val="000000"/>
          <w:sz w:val="20"/>
        </w:rPr>
        <w:t>We are an “emerging growth company” and a “smaller reporting company” as defined under federal securities laws and, as such, have elected to comply with certain reduced reporting requirements in this prospectus and may elect to do so in future filings. See “</w:t>
      </w:r>
      <w:hyperlink w:anchor="i84c570089d0c41b7a6e7b01f182eda30_10">
        <w:r>
          <w:rPr>
            <w:rStyle w:val="InternetLink"/>
            <w:rFonts w:ascii="Trade Gothic;sans-serif" w:hAnsi="Trade Gothic;sans-serif"/>
            <w:b w:val="false"/>
            <w:color w:val="0000FF"/>
            <w:sz w:val="20"/>
            <w:u w:val="single"/>
          </w:rPr>
          <w:t>Prospectus Summary-Implications of Being an Emerging Growth Company and a Smaller Reporting Company.</w:t>
        </w:r>
      </w:hyperlink>
      <w:r>
        <w:rPr>
          <w:color w:val="000000"/>
        </w:rPr>
        <w:t xml:space="preserve">” </w:t>
      </w:r>
    </w:p>
    <w:p>
      <w:pPr>
        <w:pStyle w:val="TextBody"/>
        <w:bidi w:val="0"/>
        <w:spacing w:lineRule="auto" w:line="288" w:before="0" w:after="240"/>
        <w:jc w:val="left"/>
        <w:rPr/>
      </w:pPr>
      <w:r>
        <w:rPr>
          <w:rFonts w:ascii="Trade Gothic;sans-serif" w:hAnsi="Trade Gothic;sans-serif"/>
          <w:b/>
          <w:color w:val="000000"/>
          <w:sz w:val="20"/>
        </w:rPr>
        <w:t>Investing in our common stock involves a high degree of risk. See “</w:t>
      </w:r>
      <w:hyperlink w:anchor="i84c570089d0c41b7a6e7b01f182eda30_19">
        <w:r>
          <w:rPr>
            <w:rStyle w:val="InternetLink"/>
            <w:rFonts w:ascii="Trade Gothic;sans-serif" w:hAnsi="Trade Gothic;sans-serif"/>
            <w:b/>
            <w:color w:val="0000FF"/>
            <w:sz w:val="20"/>
            <w:u w:val="single"/>
          </w:rPr>
          <w:t>Risk Factors</w:t>
        </w:r>
      </w:hyperlink>
      <w:r>
        <w:rPr>
          <w:color w:val="000000"/>
        </w:rPr>
        <w:t xml:space="preserve">” </w:t>
      </w:r>
      <w:r>
        <w:rPr>
          <w:rFonts w:ascii="Trade Gothic;sans-serif" w:hAnsi="Trade Gothic;sans-serif"/>
          <w:b/>
          <w:color w:val="000000"/>
          <w:sz w:val="20"/>
        </w:rPr>
        <w:t xml:space="preserve">beginning on page </w:t>
      </w:r>
      <w:hyperlink w:anchor="i84c570089d0c41b7a6e7b01f182eda30_19">
        <w:r>
          <w:rPr>
            <w:rStyle w:val="InternetLink"/>
            <w:rFonts w:ascii="Trade Gothic;sans-serif" w:hAnsi="Trade Gothic;sans-serif"/>
            <w:b/>
            <w:color w:val="0000FF"/>
            <w:sz w:val="20"/>
            <w:u w:val="single"/>
          </w:rPr>
          <w:t>3</w:t>
        </w:r>
      </w:hyperlink>
      <w:r>
        <w:rPr>
          <w:color w:val="000000"/>
        </w:rPr>
        <w:t xml:space="preserve"> </w:t>
      </w:r>
      <w:r>
        <w:rPr>
          <w:rFonts w:ascii="Trade Gothic;sans-serif" w:hAnsi="Trade Gothic;sans-serif"/>
          <w:b/>
          <w:color w:val="000000"/>
          <w:sz w:val="20"/>
        </w:rPr>
        <w:t>of this prospectus.</w:t>
      </w:r>
    </w:p>
    <w:p>
      <w:pPr>
        <w:pStyle w:val="TextBody"/>
        <w:bidi w:val="0"/>
        <w:spacing w:lineRule="auto" w:line="288" w:before="0" w:after="240"/>
        <w:jc w:val="left"/>
        <w:rPr>
          <w:rFonts w:ascii="Trade Gothic;sans-serif" w:hAnsi="Trade Gothic;sans-serif"/>
          <w:b/>
          <w:color w:val="000000"/>
          <w:sz w:val="20"/>
        </w:rPr>
      </w:pPr>
      <w:r>
        <w:rPr>
          <w:rFonts w:ascii="Trade Gothic;sans-serif" w:hAnsi="Trade Gothic;sans-serif"/>
          <w:b/>
          <w:color w:val="000000"/>
          <w:sz w:val="20"/>
        </w:rPr>
        <w:t xml:space="preserve">Neither the Securities and Exchange Commission nor any state securities commission has approved or disapproved of these securities, or passed upon the adequacy or accuracy of this prospectus. Any representation to the contrary is a criminal offense. </w:t>
      </w:r>
    </w:p>
    <w:p>
      <w:pPr>
        <w:pStyle w:val="TextBody"/>
        <w:bidi w:val="0"/>
        <w:spacing w:lineRule="auto" w:line="288" w:before="0" w:after="180"/>
        <w:jc w:val="center"/>
        <w:rPr>
          <w:rFonts w:ascii="Trade Gothic;sans-serif" w:hAnsi="Trade Gothic;sans-serif"/>
          <w:b w:val="false"/>
          <w:color w:val="000000"/>
          <w:sz w:val="20"/>
        </w:rPr>
      </w:pPr>
      <w:r>
        <w:rPr>
          <w:rFonts w:ascii="Trade Gothic;sans-serif" w:hAnsi="Trade Gothic;sans-serif"/>
          <w:b w:val="false"/>
          <w:color w:val="000000"/>
          <w:sz w:val="20"/>
        </w:rPr>
        <w:t xml:space="preserve">Prospectus dated August 14, 2026.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180"/>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2"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4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40"/>
                        <w:jc w:val="left"/>
                        <w:rPr/>
                      </w:pPr>
                      <w:r>
                        <w:rPr/>
                      </w:r>
                    </w:p>
                  </w:txbxContent>
                </v:textbox>
                <w10:wrap type="none"/>
              </v:rect>
            </w:pict>
          </mc:Fallback>
        </mc:AlternateContent>
      </w:r>
    </w:p>
    <w:p>
      <w:pPr>
        <w:pStyle w:val="TextBody"/>
        <w:bidi w:val="0"/>
        <w:spacing w:lineRule="auto" w:line="288" w:before="0" w:after="360"/>
        <w:jc w:val="center"/>
        <w:rPr>
          <w:rFonts w:ascii="Trade Gothic;sans-serif" w:hAnsi="Trade Gothic;sans-serif"/>
          <w:b/>
          <w:color w:val="000000"/>
          <w:sz w:val="20"/>
        </w:rPr>
      </w:pPr>
      <w:r>
        <w:rPr>
          <w:rFonts w:ascii="Trade Gothic;sans-serif" w:hAnsi="Trade Gothic;sans-serif"/>
          <w:b/>
          <w:color w:val="000000"/>
          <w:sz w:val="20"/>
        </w:rPr>
        <w:t>TABLE OF CONTENTS</w:t>
      </w:r>
    </w:p>
    <w:tbl>
      <w:tblPr>
        <w:tblW w:w="10205" w:type="dxa"/>
        <w:jc w:val="left"/>
        <w:tblInd w:w="0" w:type="dxa"/>
        <w:tblLayout w:type="fixed"/>
        <w:tblCellMar>
          <w:top w:w="28" w:type="dxa"/>
          <w:left w:w="28" w:type="dxa"/>
          <w:bottom w:w="28" w:type="dxa"/>
          <w:right w:w="28" w:type="dxa"/>
        </w:tblCellMar>
      </w:tblPr>
      <w:tblGrid>
        <w:gridCol w:w="3489"/>
        <w:gridCol w:w="3063"/>
        <w:gridCol w:w="3051"/>
        <w:gridCol w:w="176"/>
        <w:gridCol w:w="176"/>
        <w:gridCol w:w="250"/>
      </w:tblGrid>
      <w:tr>
        <w:trPr/>
        <w:tc>
          <w:tcPr>
            <w:tcW w:w="3489" w:type="dxa"/>
            <w:tcBorders/>
            <w:vAlign w:val="center"/>
          </w:tcPr>
          <w:p>
            <w:pPr>
              <w:pStyle w:val="TableContents"/>
              <w:bidi w:val="0"/>
              <w:spacing w:before="0" w:after="283"/>
              <w:jc w:val="left"/>
              <w:rPr>
                <w:sz w:val="4"/>
                <w:szCs w:val="4"/>
              </w:rPr>
            </w:pPr>
            <w:r>
              <w:rPr>
                <w:sz w:val="4"/>
                <w:szCs w:val="4"/>
              </w:rPr>
            </w:r>
          </w:p>
        </w:tc>
        <w:tc>
          <w:tcPr>
            <w:tcW w:w="3063" w:type="dxa"/>
            <w:tcBorders/>
            <w:vAlign w:val="center"/>
          </w:tcPr>
          <w:p>
            <w:pPr>
              <w:pStyle w:val="TableContents"/>
              <w:bidi w:val="0"/>
              <w:spacing w:before="0" w:after="283"/>
              <w:jc w:val="left"/>
              <w:rPr>
                <w:sz w:val="4"/>
                <w:szCs w:val="4"/>
              </w:rPr>
            </w:pPr>
            <w:r>
              <w:rPr>
                <w:sz w:val="4"/>
                <w:szCs w:val="4"/>
              </w:rPr>
            </w:r>
          </w:p>
        </w:tc>
        <w:tc>
          <w:tcPr>
            <w:tcW w:w="3051"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r>
      <w:tr>
        <w:trPr/>
        <w:tc>
          <w:tcPr>
            <w:tcW w:w="96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rade Gothic;sans-serif" w:hAnsi="Trade Gothic;sans-serif"/>
                <w:b/>
                <w:color w:val="000000"/>
                <w:sz w:val="16"/>
              </w:rPr>
            </w:pPr>
            <w:r>
              <w:rPr>
                <w:rFonts w:ascii="Trade Gothic;sans-serif" w:hAnsi="Trade Gothic;sans-serif"/>
                <w:b/>
                <w:color w:val="000000"/>
                <w:sz w:val="16"/>
              </w:rPr>
              <w:t>Page</w:t>
            </w:r>
          </w:p>
        </w:tc>
      </w:tr>
      <w:tr>
        <w:trPr/>
        <w:tc>
          <w:tcPr>
            <w:tcW w:w="960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84c570089d0c41b7a6e7b01f182eda30_10">
              <w:r>
                <w:rPr>
                  <w:rStyle w:val="InternetLink"/>
                  <w:rFonts w:ascii="Trade Gothic;sans-serif" w:hAnsi="Trade Gothic;sans-serif"/>
                  <w:b w:val="false"/>
                  <w:color w:val="0000FF"/>
                  <w:sz w:val="20"/>
                  <w:u w:val="single"/>
                </w:rPr>
                <w:t>PROSPECTUS SUMMARY</w:t>
              </w:r>
            </w:hyperlink>
          </w:p>
        </w:tc>
        <w:tc>
          <w:tcPr>
            <w:tcW w:w="60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right"/>
              <w:rPr/>
            </w:pPr>
            <w:hyperlink w:anchor="i84c570089d0c41b7a6e7b01f182eda30_10">
              <w:r>
                <w:rPr>
                  <w:rStyle w:val="InternetLink"/>
                  <w:rFonts w:ascii="Trade Gothic;sans-serif" w:hAnsi="Trade Gothic;sans-serif"/>
                  <w:b w:val="false"/>
                  <w:color w:val="0000FF"/>
                  <w:sz w:val="20"/>
                  <w:u w:val="single"/>
                </w:rPr>
                <w:t>1</w:t>
              </w:r>
            </w:hyperlink>
          </w:p>
        </w:tc>
      </w:tr>
      <w:tr>
        <w:trPr/>
        <w:tc>
          <w:tcPr>
            <w:tcW w:w="960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84c570089d0c41b7a6e7b01f182eda30_19">
              <w:r>
                <w:rPr>
                  <w:rStyle w:val="InternetLink"/>
                  <w:rFonts w:ascii="Trade Gothic;sans-serif" w:hAnsi="Trade Gothic;sans-serif"/>
                  <w:b w:val="false"/>
                  <w:color w:val="0000FF"/>
                  <w:sz w:val="20"/>
                  <w:u w:val="single"/>
                </w:rPr>
                <w:t>RISK FACTORS</w:t>
              </w:r>
            </w:hyperlink>
          </w:p>
        </w:tc>
        <w:tc>
          <w:tcPr>
            <w:tcW w:w="60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84c570089d0c41b7a6e7b01f182eda30_19">
              <w:r>
                <w:rPr>
                  <w:rStyle w:val="InternetLink"/>
                  <w:rFonts w:ascii="Trade Gothic;sans-serif" w:hAnsi="Trade Gothic;sans-serif"/>
                  <w:b w:val="false"/>
                  <w:color w:val="0000FF"/>
                  <w:sz w:val="20"/>
                  <w:u w:val="single"/>
                </w:rPr>
                <w:t>3</w:t>
              </w:r>
            </w:hyperlink>
          </w:p>
        </w:tc>
      </w:tr>
      <w:tr>
        <w:trPr/>
        <w:tc>
          <w:tcPr>
            <w:tcW w:w="960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84c570089d0c41b7a6e7b01f182eda30_22">
              <w:r>
                <w:rPr>
                  <w:rStyle w:val="InternetLink"/>
                  <w:rFonts w:ascii="Trade Gothic;sans-serif" w:hAnsi="Trade Gothic;sans-serif"/>
                  <w:b w:val="false"/>
                  <w:color w:val="0000FF"/>
                  <w:sz w:val="20"/>
                  <w:u w:val="single"/>
                </w:rPr>
                <w:t>SPECIAL NOTE REGARDING FORWARD-LOOKING STATEMENTS</w:t>
              </w:r>
            </w:hyperlink>
          </w:p>
        </w:tc>
        <w:tc>
          <w:tcPr>
            <w:tcW w:w="60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84c570089d0c41b7a6e7b01f182eda30_22">
              <w:r>
                <w:rPr>
                  <w:rStyle w:val="InternetLink"/>
                  <w:rFonts w:ascii="Trade Gothic;sans-serif" w:hAnsi="Trade Gothic;sans-serif"/>
                  <w:b w:val="false"/>
                  <w:color w:val="0000FF"/>
                  <w:sz w:val="20"/>
                  <w:u w:val="single"/>
                </w:rPr>
                <w:t>5</w:t>
              </w:r>
            </w:hyperlink>
          </w:p>
        </w:tc>
      </w:tr>
      <w:tr>
        <w:trPr/>
        <w:tc>
          <w:tcPr>
            <w:tcW w:w="960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84c570089d0c41b7a6e7b01f182eda30_25">
              <w:r>
                <w:rPr>
                  <w:rStyle w:val="InternetLink"/>
                  <w:rFonts w:ascii="Trade Gothic;sans-serif" w:hAnsi="Trade Gothic;sans-serif"/>
                  <w:b w:val="false"/>
                  <w:color w:val="0000FF"/>
                  <w:sz w:val="20"/>
                  <w:u w:val="single"/>
                </w:rPr>
                <w:t>USE OF PROCEEDS</w:t>
              </w:r>
            </w:hyperlink>
          </w:p>
        </w:tc>
        <w:tc>
          <w:tcPr>
            <w:tcW w:w="60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84c570089d0c41b7a6e7b01f182eda30_25">
              <w:r>
                <w:rPr>
                  <w:rStyle w:val="InternetLink"/>
                  <w:rFonts w:ascii="Trade Gothic;sans-serif" w:hAnsi="Trade Gothic;sans-serif"/>
                  <w:b w:val="false"/>
                  <w:color w:val="0000FF"/>
                  <w:sz w:val="20"/>
                  <w:u w:val="single"/>
                </w:rPr>
                <w:t>7</w:t>
              </w:r>
            </w:hyperlink>
          </w:p>
        </w:tc>
      </w:tr>
      <w:tr>
        <w:trPr/>
        <w:tc>
          <w:tcPr>
            <w:tcW w:w="960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84c570089d0c41b7a6e7b01f182eda30_28">
              <w:r>
                <w:rPr>
                  <w:rStyle w:val="InternetLink"/>
                  <w:rFonts w:ascii="Trade Gothic;sans-serif" w:hAnsi="Trade Gothic;sans-serif"/>
                  <w:b w:val="false"/>
                  <w:color w:val="0000FF"/>
                  <w:sz w:val="20"/>
                  <w:u w:val="single"/>
                </w:rPr>
                <w:t>DIVIDEND POLICY</w:t>
              </w:r>
            </w:hyperlink>
          </w:p>
        </w:tc>
        <w:tc>
          <w:tcPr>
            <w:tcW w:w="60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84c570089d0c41b7a6e7b01f182eda30_28">
              <w:r>
                <w:rPr>
                  <w:rStyle w:val="InternetLink"/>
                  <w:rFonts w:ascii="Trade Gothic;sans-serif" w:hAnsi="Trade Gothic;sans-serif"/>
                  <w:b w:val="false"/>
                  <w:color w:val="0000FF"/>
                  <w:sz w:val="20"/>
                  <w:u w:val="single"/>
                </w:rPr>
                <w:t>8</w:t>
              </w:r>
            </w:hyperlink>
          </w:p>
        </w:tc>
      </w:tr>
      <w:tr>
        <w:trPr/>
        <w:tc>
          <w:tcPr>
            <w:tcW w:w="960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84c570089d0c41b7a6e7b01f182eda30_508">
              <w:r>
                <w:rPr>
                  <w:rStyle w:val="InternetLink"/>
                  <w:rFonts w:ascii="Trade Gothic;sans-serif" w:hAnsi="Trade Gothic;sans-serif"/>
                  <w:b w:val="false"/>
                  <w:color w:val="0000FF"/>
                  <w:sz w:val="20"/>
                  <w:u w:val="single"/>
                </w:rPr>
                <w:t>CERTAIN RELATIONSHIPS AND RELATED PARTY TRANSACTIONS</w:t>
              </w:r>
            </w:hyperlink>
          </w:p>
        </w:tc>
        <w:tc>
          <w:tcPr>
            <w:tcW w:w="60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84c570089d0c41b7a6e7b01f182eda30_508">
              <w:r>
                <w:rPr>
                  <w:rStyle w:val="InternetLink"/>
                  <w:rFonts w:ascii="Trade Gothic;sans-serif" w:hAnsi="Trade Gothic;sans-serif"/>
                  <w:b w:val="false"/>
                  <w:color w:val="0000FF"/>
                  <w:sz w:val="20"/>
                  <w:u w:val="single"/>
                </w:rPr>
                <w:t>9</w:t>
              </w:r>
            </w:hyperlink>
          </w:p>
        </w:tc>
      </w:tr>
      <w:tr>
        <w:trPr/>
        <w:tc>
          <w:tcPr>
            <w:tcW w:w="960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84c570089d0c41b7a6e7b01f182eda30_523">
              <w:r>
                <w:rPr>
                  <w:rStyle w:val="InternetLink"/>
                  <w:rFonts w:ascii="Trade Gothic;sans-serif" w:hAnsi="Trade Gothic;sans-serif"/>
                  <w:b w:val="false"/>
                  <w:color w:val="0000FF"/>
                  <w:sz w:val="20"/>
                  <w:u w:val="single"/>
                </w:rPr>
                <w:t>SELLING STOCKHOLDERS</w:t>
              </w:r>
            </w:hyperlink>
          </w:p>
        </w:tc>
        <w:tc>
          <w:tcPr>
            <w:tcW w:w="60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84c570089d0c41b7a6e7b01f182eda30_523">
              <w:r>
                <w:rPr>
                  <w:rStyle w:val="InternetLink"/>
                  <w:rFonts w:ascii="Trade Gothic;sans-serif" w:hAnsi="Trade Gothic;sans-serif"/>
                  <w:b w:val="false"/>
                  <w:color w:val="0000FF"/>
                  <w:sz w:val="20"/>
                  <w:u w:val="single"/>
                </w:rPr>
                <w:t>13</w:t>
              </w:r>
            </w:hyperlink>
          </w:p>
        </w:tc>
      </w:tr>
      <w:tr>
        <w:trPr/>
        <w:tc>
          <w:tcPr>
            <w:tcW w:w="960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84c570089d0c41b7a6e7b01f182eda30_40">
              <w:r>
                <w:rPr>
                  <w:rStyle w:val="InternetLink"/>
                  <w:rFonts w:ascii="Trade Gothic;sans-serif" w:hAnsi="Trade Gothic;sans-serif"/>
                  <w:b w:val="false"/>
                  <w:color w:val="0000FF"/>
                  <w:sz w:val="20"/>
                  <w:u w:val="single"/>
                </w:rPr>
                <w:t>DESCRIPTION OF CAPITAL STOCK</w:t>
              </w:r>
            </w:hyperlink>
          </w:p>
        </w:tc>
        <w:tc>
          <w:tcPr>
            <w:tcW w:w="60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84c570089d0c41b7a6e7b01f182eda30_40">
              <w:r>
                <w:rPr>
                  <w:rStyle w:val="InternetLink"/>
                  <w:rFonts w:ascii="Trade Gothic;sans-serif" w:hAnsi="Trade Gothic;sans-serif"/>
                  <w:b w:val="false"/>
                  <w:color w:val="0000FF"/>
                  <w:sz w:val="20"/>
                  <w:u w:val="single"/>
                </w:rPr>
                <w:t>16</w:t>
              </w:r>
            </w:hyperlink>
          </w:p>
        </w:tc>
      </w:tr>
      <w:tr>
        <w:trPr/>
        <w:tc>
          <w:tcPr>
            <w:tcW w:w="960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84c570089d0c41b7a6e7b01f182eda30_46">
              <w:r>
                <w:rPr>
                  <w:rStyle w:val="InternetLink"/>
                  <w:rFonts w:ascii="Trade Gothic;sans-serif" w:hAnsi="Trade Gothic;sans-serif"/>
                  <w:b w:val="false"/>
                  <w:color w:val="0000FF"/>
                  <w:sz w:val="20"/>
                  <w:u w:val="single"/>
                </w:rPr>
                <w:t>DESCRIPTION OF PRE-FUNDED WARRANTS</w:t>
              </w:r>
            </w:hyperlink>
          </w:p>
        </w:tc>
        <w:tc>
          <w:tcPr>
            <w:tcW w:w="60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84c570089d0c41b7a6e7b01f182eda30_46">
              <w:r>
                <w:rPr>
                  <w:rStyle w:val="InternetLink"/>
                  <w:rFonts w:ascii="Trade Gothic;sans-serif" w:hAnsi="Trade Gothic;sans-serif"/>
                  <w:b w:val="false"/>
                  <w:color w:val="0000FF"/>
                  <w:sz w:val="20"/>
                  <w:u w:val="single"/>
                </w:rPr>
                <w:t>20</w:t>
              </w:r>
            </w:hyperlink>
          </w:p>
        </w:tc>
      </w:tr>
      <w:tr>
        <w:trPr/>
        <w:tc>
          <w:tcPr>
            <w:tcW w:w="960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84c570089d0c41b7a6e7b01f182eda30_49">
              <w:r>
                <w:rPr>
                  <w:rStyle w:val="InternetLink"/>
                  <w:rFonts w:ascii="Trade Gothic;sans-serif" w:hAnsi="Trade Gothic;sans-serif"/>
                  <w:b w:val="false"/>
                  <w:color w:val="0000FF"/>
                  <w:sz w:val="20"/>
                  <w:u w:val="single"/>
                </w:rPr>
                <w:t>MATERIAL U.S. FEDERAL INCOME TAX CONSEQUENCES TO NON-U.S. HOLDERS OF OUR COMMON STOCK</w:t>
              </w:r>
            </w:hyperlink>
          </w:p>
        </w:tc>
        <w:tc>
          <w:tcPr>
            <w:tcW w:w="60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84c570089d0c41b7a6e7b01f182eda30_49">
              <w:r>
                <w:rPr>
                  <w:rStyle w:val="InternetLink"/>
                  <w:rFonts w:ascii="Trade Gothic;sans-serif" w:hAnsi="Trade Gothic;sans-serif"/>
                  <w:b w:val="false"/>
                  <w:color w:val="0000FF"/>
                  <w:sz w:val="20"/>
                  <w:u w:val="single"/>
                </w:rPr>
                <w:t>22</w:t>
              </w:r>
            </w:hyperlink>
          </w:p>
        </w:tc>
      </w:tr>
      <w:tr>
        <w:trPr/>
        <w:tc>
          <w:tcPr>
            <w:tcW w:w="960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84c570089d0c41b7a6e7b01f182eda30_52">
              <w:r>
                <w:rPr>
                  <w:rStyle w:val="InternetLink"/>
                  <w:rFonts w:ascii="Trade Gothic;sans-serif" w:hAnsi="Trade Gothic;sans-serif"/>
                  <w:b w:val="false"/>
                  <w:color w:val="0000FF"/>
                  <w:sz w:val="20"/>
                  <w:u w:val="single"/>
                </w:rPr>
                <w:t>PLAN OF DISTRIBUTION</w:t>
              </w:r>
            </w:hyperlink>
          </w:p>
        </w:tc>
        <w:tc>
          <w:tcPr>
            <w:tcW w:w="60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84c570089d0c41b7a6e7b01f182eda30_52">
              <w:r>
                <w:rPr>
                  <w:rStyle w:val="InternetLink"/>
                  <w:rFonts w:ascii="Trade Gothic;sans-serif" w:hAnsi="Trade Gothic;sans-serif"/>
                  <w:b w:val="false"/>
                  <w:color w:val="0000FF"/>
                  <w:sz w:val="20"/>
                  <w:u w:val="single"/>
                </w:rPr>
                <w:t>26</w:t>
              </w:r>
            </w:hyperlink>
          </w:p>
        </w:tc>
      </w:tr>
      <w:tr>
        <w:trPr/>
        <w:tc>
          <w:tcPr>
            <w:tcW w:w="960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84c570089d0c41b7a6e7b01f182eda30_55">
              <w:r>
                <w:rPr>
                  <w:rStyle w:val="InternetLink"/>
                  <w:rFonts w:ascii="Trade Gothic;sans-serif" w:hAnsi="Trade Gothic;sans-serif"/>
                  <w:b w:val="false"/>
                  <w:color w:val="0000FF"/>
                  <w:sz w:val="20"/>
                  <w:u w:val="single"/>
                </w:rPr>
                <w:t>LEGAL MATTERS</w:t>
              </w:r>
            </w:hyperlink>
          </w:p>
        </w:tc>
        <w:tc>
          <w:tcPr>
            <w:tcW w:w="60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84c570089d0c41b7a6e7b01f182eda30_55">
              <w:r>
                <w:rPr>
                  <w:rStyle w:val="InternetLink"/>
                  <w:rFonts w:ascii="Trade Gothic;sans-serif" w:hAnsi="Trade Gothic;sans-serif"/>
                  <w:b w:val="false"/>
                  <w:color w:val="0000FF"/>
                  <w:sz w:val="20"/>
                  <w:u w:val="single"/>
                </w:rPr>
                <w:t>28</w:t>
              </w:r>
            </w:hyperlink>
          </w:p>
        </w:tc>
      </w:tr>
      <w:tr>
        <w:trPr/>
        <w:tc>
          <w:tcPr>
            <w:tcW w:w="960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84c570089d0c41b7a6e7b01f182eda30_58">
              <w:r>
                <w:rPr>
                  <w:rStyle w:val="InternetLink"/>
                  <w:rFonts w:ascii="Trade Gothic;sans-serif" w:hAnsi="Trade Gothic;sans-serif"/>
                  <w:b w:val="false"/>
                  <w:color w:val="0000FF"/>
                  <w:sz w:val="20"/>
                  <w:u w:val="single"/>
                </w:rPr>
                <w:t>EXPERTS</w:t>
              </w:r>
            </w:hyperlink>
          </w:p>
        </w:tc>
        <w:tc>
          <w:tcPr>
            <w:tcW w:w="60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84c570089d0c41b7a6e7b01f182eda30_58">
              <w:r>
                <w:rPr>
                  <w:rStyle w:val="InternetLink"/>
                  <w:rFonts w:ascii="Trade Gothic;sans-serif" w:hAnsi="Trade Gothic;sans-serif"/>
                  <w:b w:val="false"/>
                  <w:color w:val="0000FF"/>
                  <w:sz w:val="20"/>
                  <w:u w:val="single"/>
                </w:rPr>
                <w:t>28</w:t>
              </w:r>
            </w:hyperlink>
          </w:p>
        </w:tc>
      </w:tr>
      <w:tr>
        <w:trPr/>
        <w:tc>
          <w:tcPr>
            <w:tcW w:w="960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84c570089d0c41b7a6e7b01f182eda30_61">
              <w:r>
                <w:rPr>
                  <w:rStyle w:val="InternetLink"/>
                  <w:rFonts w:ascii="Trade Gothic;sans-serif" w:hAnsi="Trade Gothic;sans-serif"/>
                  <w:b w:val="false"/>
                  <w:color w:val="0000FF"/>
                  <w:sz w:val="20"/>
                  <w:u w:val="single"/>
                </w:rPr>
                <w:t>WHERE YOU CAN FIND ADDITIONAL INFORMATION</w:t>
              </w:r>
            </w:hyperlink>
          </w:p>
        </w:tc>
        <w:tc>
          <w:tcPr>
            <w:tcW w:w="60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84c570089d0c41b7a6e7b01f182eda30_61">
              <w:r>
                <w:rPr>
                  <w:rStyle w:val="InternetLink"/>
                  <w:rFonts w:ascii="Trade Gothic;sans-serif" w:hAnsi="Trade Gothic;sans-serif"/>
                  <w:b w:val="false"/>
                  <w:color w:val="0000FF"/>
                  <w:sz w:val="20"/>
                  <w:u w:val="single"/>
                </w:rPr>
                <w:t>28</w:t>
              </w:r>
            </w:hyperlink>
          </w:p>
        </w:tc>
      </w:tr>
      <w:tr>
        <w:trPr/>
        <w:tc>
          <w:tcPr>
            <w:tcW w:w="960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84c570089d0c41b7a6e7b01f182eda30_64">
              <w:r>
                <w:rPr>
                  <w:rStyle w:val="InternetLink"/>
                  <w:rFonts w:ascii="Trade Gothic;sans-serif" w:hAnsi="Trade Gothic;sans-serif"/>
                  <w:b w:val="false"/>
                  <w:color w:val="0000FF"/>
                  <w:sz w:val="20"/>
                  <w:u w:val="single"/>
                </w:rPr>
                <w:t>INCORPORATION OF CERTAIN INFORMATION BY REFERENCE</w:t>
              </w:r>
            </w:hyperlink>
          </w:p>
        </w:tc>
        <w:tc>
          <w:tcPr>
            <w:tcW w:w="60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84c570089d0c41b7a6e7b01f182eda30_64">
              <w:r>
                <w:rPr>
                  <w:rStyle w:val="InternetLink"/>
                  <w:rFonts w:ascii="Trade Gothic;sans-serif" w:hAnsi="Trade Gothic;sans-serif"/>
                  <w:b w:val="false"/>
                  <w:color w:val="0000FF"/>
                  <w:sz w:val="20"/>
                  <w:u w:val="single"/>
                </w:rPr>
                <w:t>29</w:t>
              </w:r>
            </w:hyperlink>
          </w:p>
        </w:tc>
      </w:tr>
    </w:tbl>
    <w:p>
      <w:pPr>
        <w:pStyle w:val="TextBody"/>
        <w:bidi w:val="0"/>
        <w:spacing w:lineRule="auto" w:line="288" w:before="0" w:after="240"/>
        <w:jc w:val="left"/>
        <w:rPr>
          <w:rFonts w:ascii="Trade Gothic;sans-serif" w:hAnsi="Trade Gothic;sans-serif"/>
          <w:b w:val="false"/>
          <w:color w:val="000000"/>
          <w:sz w:val="20"/>
        </w:rPr>
      </w:pPr>
      <w:r>
        <w:rPr>
          <w:rFonts w:ascii="Trade Gothic;sans-serif" w:hAnsi="Trade Gothic;sans-serif"/>
          <w:b w:val="false"/>
          <w:color w:val="000000"/>
          <w:sz w:val="20"/>
        </w:rPr>
        <w:t xml:space="preserve">Neither we nor the selling stockholders have authorized anyone to provide any information other than that contained in this prospectus or in any free writing prospectus prepared by or on behalf of us or to which we have referred you. We and the selling stockholders take no responsibility for, and can provide no assurance as to the reliability of, any other information that others may give you. We and the selling stockholders are not making an offer to sell these securities in any jurisdiction where the offer or sale is not permitted. You should assume that the information appearing in this prospectus is accurate only as of the date on the front cover of this prospectus, regardless of the time of delivery of this prospectus or any sale of our common stock. Our business, financial condition, results of operations and prospects may have changed since that date. </w:t>
      </w:r>
    </w:p>
    <w:p>
      <w:pPr>
        <w:pStyle w:val="TextBody"/>
        <w:bidi w:val="0"/>
        <w:spacing w:lineRule="auto" w:line="288" w:before="0" w:after="240"/>
        <w:jc w:val="left"/>
        <w:rPr>
          <w:rFonts w:ascii="Trade Gothic;sans-serif" w:hAnsi="Trade Gothic;sans-serif"/>
          <w:b w:val="false"/>
          <w:color w:val="000000"/>
          <w:sz w:val="20"/>
        </w:rPr>
      </w:pPr>
      <w:r>
        <w:rPr>
          <w:rFonts w:ascii="Trade Gothic;sans-serif" w:hAnsi="Trade Gothic;sans-serif"/>
          <w:b w:val="false"/>
          <w:color w:val="000000"/>
          <w:sz w:val="20"/>
        </w:rPr>
        <w:t>For investors outside of the United States: Neither we nor the selling stockholders have done anything that would permit this offering or possession or distribution of this prospectus in any jurisdiction where action for that purpose is required, other than the United States. Persons outside of the United States who come into possession of this prospectus must inform themselves about, and observe any restrictions relating to, the offering of the shares of common stock and the distribution of this prospectus outside of the United States.</w:t>
      </w:r>
    </w:p>
    <w:p>
      <w:pPr>
        <w:pStyle w:val="TextBody"/>
        <w:bidi w:val="0"/>
        <w:spacing w:before="0" w:after="0"/>
        <w:jc w:val="righ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47955"/>
                <wp:effectExtent l="0" t="0" r="0" b="0"/>
                <wp:wrapNone/>
                <wp:docPr id="3" name="Frame2"/>
                <a:graphic xmlns:a="http://schemas.openxmlformats.org/drawingml/2006/main">
                  <a:graphicData uri="http://schemas.microsoft.com/office/word/2010/wordprocessingShape">
                    <wps:wsp>
                      <wps:cNvSpPr txBox="1"/>
                      <wps:spPr>
                        <a:xfrm>
                          <a:off x="0" y="0"/>
                          <a:ext cx="6480175" cy="147955"/>
                        </a:xfrm>
                        <a:prstGeom prst="rect"/>
                        <a:solidFill>
                          <a:srgbClr val="FFFFFF"/>
                        </a:solidFill>
                      </wps:spPr>
                      <wps:txbx>
                        <w:txbxContent>
                          <w:p>
                            <w:pPr>
                              <w:pStyle w:val="TextBody"/>
                              <w:bidi w:val="0"/>
                              <w:spacing w:lineRule="auto" w:line="288" w:before="0" w:after="0"/>
                              <w:jc w:val="center"/>
                              <w:rPr>
                                <w:rFonts w:ascii="Trade Gothic;sans-serif" w:hAnsi="Trade Gothic;sans-serif"/>
                                <w:b w:val="false"/>
                                <w:color w:val="000000"/>
                                <w:sz w:val="20"/>
                              </w:rPr>
                            </w:pPr>
                            <w:r>
                              <w:rPr>
                                <w:rFonts w:ascii="Trade Gothic;sans-serif" w:hAnsi="Trade Gothic;sans-serif"/>
                                <w:b w:val="false"/>
                                <w:color w:val="000000"/>
                                <w:sz w:val="20"/>
                              </w:rPr>
                              <w:t>i</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6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Trade Gothic;sans-serif" w:hAnsi="Trade Gothic;sans-serif"/>
                          <w:b w:val="false"/>
                          <w:color w:val="000000"/>
                          <w:sz w:val="20"/>
                        </w:rPr>
                      </w:pPr>
                      <w:r>
                        <w:rPr>
                          <w:rFonts w:ascii="Trade Gothic;sans-serif" w:hAnsi="Trade Gothic;sans-serif"/>
                          <w:b w:val="false"/>
                          <w:color w:val="000000"/>
                          <w:sz w:val="20"/>
                        </w:rPr>
                        <w:t>i</w:t>
                      </w:r>
                    </w:p>
                  </w:txbxContent>
                </v:textbox>
                <w10:wrap type="none"/>
              </v:rect>
            </w:pict>
          </mc:Fallback>
        </mc:AlternateContent>
      </w:r>
    </w:p>
    <w:p>
      <w:pPr>
        <w:pStyle w:val="TextBody"/>
        <w:bidi w:val="0"/>
        <w:spacing w:lineRule="auto" w:line="288" w:before="0" w:after="180"/>
        <w:jc w:val="center"/>
        <w:rPr>
          <w:rFonts w:ascii="Trade Gothic;sans-serif" w:hAnsi="Trade Gothic;sans-serif"/>
          <w:b/>
          <w:color w:val="000000"/>
          <w:sz w:val="20"/>
        </w:rPr>
      </w:pPr>
      <w:r>
        <w:rPr>
          <w:rFonts w:ascii="Trade Gothic;sans-serif" w:hAnsi="Trade Gothic;sans-serif"/>
          <w:b/>
          <w:color w:val="000000"/>
          <w:sz w:val="20"/>
        </w:rPr>
        <w:t>TRADEMARKS</w:t>
      </w:r>
    </w:p>
    <w:p>
      <w:pPr>
        <w:pStyle w:val="TextBody"/>
        <w:bidi w:val="0"/>
        <w:spacing w:lineRule="auto" w:line="288" w:before="0" w:after="240"/>
        <w:jc w:val="left"/>
        <w:rPr>
          <w:rFonts w:ascii="Trade Gothic;sans-serif" w:hAnsi="Trade Gothic;sans-serif"/>
          <w:b w:val="false"/>
          <w:color w:val="000000"/>
          <w:sz w:val="20"/>
        </w:rPr>
      </w:pPr>
      <w:r>
        <w:rPr>
          <w:rFonts w:ascii="Trade Gothic;sans-serif" w:hAnsi="Trade Gothic;sans-serif"/>
          <w:b w:val="false"/>
          <w:color w:val="000000"/>
          <w:sz w:val="20"/>
        </w:rPr>
        <w:t>This prospectus contains references to our trademarks and those trademarks belonging to other entities. Solely for convenience, trademarks and trade names referred to in this prospectus, including logos, artwork and other visual displays, may appear without the ® or TM symbols, but such references are not intended to indicate in any way that we will not assert, to the fullest extent under applicable law, our rights or the rights of the applicable licensor to these trademarks and trade names. We do not intend our use or display of other entities’ trade names, trademarks or service marks to imply a relationship with, or endorsement or sponsorship of us by, any other entity.</w:t>
      </w:r>
    </w:p>
    <w:p>
      <w:pPr>
        <w:pStyle w:val="TextBody"/>
        <w:bidi w:val="0"/>
        <w:spacing w:lineRule="auto" w:line="288" w:before="0" w:after="180"/>
        <w:jc w:val="center"/>
        <w:rPr>
          <w:rFonts w:ascii="Trade Gothic;sans-serif" w:hAnsi="Trade Gothic;sans-serif"/>
          <w:b/>
          <w:color w:val="000000"/>
          <w:sz w:val="20"/>
        </w:rPr>
      </w:pPr>
      <w:r>
        <w:rPr>
          <w:rFonts w:ascii="Trade Gothic;sans-serif" w:hAnsi="Trade Gothic;sans-serif"/>
          <w:b/>
          <w:color w:val="000000"/>
          <w:sz w:val="20"/>
        </w:rPr>
        <w:t xml:space="preserve">MARKET AND INDUSTRY DATA </w:t>
      </w:r>
    </w:p>
    <w:p>
      <w:pPr>
        <w:pStyle w:val="TextBody"/>
        <w:bidi w:val="0"/>
        <w:spacing w:lineRule="auto" w:line="288" w:before="0" w:after="240"/>
        <w:jc w:val="left"/>
        <w:rPr/>
      </w:pPr>
      <w:r>
        <w:rPr>
          <w:rFonts w:ascii="Trade Gothic;sans-serif" w:hAnsi="Trade Gothic;sans-serif"/>
          <w:b w:val="false"/>
          <w:color w:val="000000"/>
          <w:sz w:val="20"/>
        </w:rPr>
        <w:t>Unless otherwise indicated, information contained or incorporated by reference in this prospectus, concerning our industry and the markets in which we operate, including our general expectations, market position and market opportunity, is based on our management’s estimates and research, as well as industry and general publications and research and studies conducted by third parties. We believe that the information from these third-party publications, research and studies included or incorporated by reference in this prospectus is reliable. However, we have not separately verified this data. Management’s estimates are derived from publicly available information, their knowledge of our industry and their assumptions based on such information and knowledge, which we believe to be reasonable; however, such research has not been verified by any third party. This data involves a number of assumptions and limitations which are necessarily subject to a high degree of uncertainty and risk due to a variety of factors, including those described in “</w:t>
      </w:r>
      <w:hyperlink w:anchor="i84c570089d0c41b7a6e7b01f182eda30_19">
        <w:r>
          <w:rPr>
            <w:rStyle w:val="InternetLink"/>
            <w:rFonts w:ascii="Trade Gothic;sans-serif" w:hAnsi="Trade Gothic;sans-serif"/>
            <w:b w:val="false"/>
            <w:color w:val="0000FF"/>
            <w:sz w:val="20"/>
            <w:u w:val="single"/>
          </w:rPr>
          <w:t>Risk Factors</w:t>
        </w:r>
      </w:hyperlink>
      <w:r>
        <w:rPr>
          <w:color w:val="000000"/>
        </w:rPr>
        <w:t xml:space="preserve">” </w:t>
      </w:r>
      <w:r>
        <w:rPr>
          <w:rFonts w:ascii="Trade Gothic;sans-serif" w:hAnsi="Trade Gothic;sans-serif"/>
          <w:b w:val="false"/>
          <w:color w:val="000000"/>
          <w:sz w:val="20"/>
        </w:rPr>
        <w:t>and “</w:t>
      </w:r>
      <w:hyperlink w:anchor="i84c570089d0c41b7a6e7b01f182eda30_19">
        <w:r>
          <w:rPr>
            <w:rStyle w:val="InternetLink"/>
            <w:rFonts w:ascii="Trade Gothic;sans-serif" w:hAnsi="Trade Gothic;sans-serif"/>
            <w:b w:val="false"/>
            <w:color w:val="0000FF"/>
            <w:sz w:val="20"/>
            <w:u w:val="single"/>
          </w:rPr>
          <w:t>Special Note Regarding Forward-Looking Statements</w:t>
        </w:r>
      </w:hyperlink>
      <w:r>
        <w:rPr>
          <w:color w:val="000000"/>
        </w:rPr>
        <w:t xml:space="preserve">” </w:t>
      </w:r>
      <w:r>
        <w:rPr>
          <w:rFonts w:ascii="Trade Gothic;sans-serif" w:hAnsi="Trade Gothic;sans-serif"/>
          <w:b w:val="false"/>
          <w:color w:val="000000"/>
          <w:sz w:val="20"/>
        </w:rPr>
        <w:t>included in this prospectus. These and other factors could cause our future performance to differ materially from our assumptions and estimates.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righ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47955"/>
                <wp:effectExtent l="0" t="0" r="0" b="0"/>
                <wp:wrapNone/>
                <wp:docPr id="4" name="Frame3"/>
                <a:graphic xmlns:a="http://schemas.openxmlformats.org/drawingml/2006/main">
                  <a:graphicData uri="http://schemas.microsoft.com/office/word/2010/wordprocessingShape">
                    <wps:wsp>
                      <wps:cNvSpPr txBox="1"/>
                      <wps:spPr>
                        <a:xfrm>
                          <a:off x="0" y="0"/>
                          <a:ext cx="6480175" cy="147955"/>
                        </a:xfrm>
                        <a:prstGeom prst="rect"/>
                        <a:solidFill>
                          <a:srgbClr val="FFFFFF"/>
                        </a:solidFill>
                      </wps:spPr>
                      <wps:txbx>
                        <w:txbxContent>
                          <w:p>
                            <w:pPr>
                              <w:pStyle w:val="TextBody"/>
                              <w:bidi w:val="0"/>
                              <w:spacing w:lineRule="auto" w:line="288" w:before="0" w:after="0"/>
                              <w:jc w:val="center"/>
                              <w:rPr>
                                <w:rFonts w:ascii="Trade Gothic;sans-serif" w:hAnsi="Trade Gothic;sans-serif"/>
                                <w:b w:val="false"/>
                                <w:color w:val="000000"/>
                                <w:sz w:val="20"/>
                              </w:rPr>
                            </w:pPr>
                            <w:r>
                              <w:rPr>
                                <w:rFonts w:ascii="Trade Gothic;sans-serif" w:hAnsi="Trade Gothic;sans-serif"/>
                                <w:b w:val="false"/>
                                <w:color w:val="000000"/>
                                <w:sz w:val="20"/>
                              </w:rPr>
                              <w:t>ii</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6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Trade Gothic;sans-serif" w:hAnsi="Trade Gothic;sans-serif"/>
                          <w:b w:val="false"/>
                          <w:color w:val="000000"/>
                          <w:sz w:val="20"/>
                        </w:rPr>
                      </w:pPr>
                      <w:r>
                        <w:rPr>
                          <w:rFonts w:ascii="Trade Gothic;sans-serif" w:hAnsi="Trade Gothic;sans-serif"/>
                          <w:b w:val="false"/>
                          <w:color w:val="000000"/>
                          <w:sz w:val="20"/>
                        </w:rPr>
                        <w:t>ii</w:t>
                      </w:r>
                    </w:p>
                  </w:txbxContent>
                </v:textbox>
                <w10:wrap type="none"/>
              </v:rect>
            </w:pict>
          </mc:Fallback>
        </mc:AlternateContent>
      </w:r>
    </w:p>
    <w:p>
      <w:pPr>
        <w:pStyle w:val="TextBody"/>
        <w:bidi w:val="0"/>
        <w:spacing w:lineRule="auto" w:line="288" w:before="0" w:after="360"/>
        <w:jc w:val="center"/>
        <w:rPr>
          <w:rFonts w:ascii="Trade Gothic;sans-serif" w:hAnsi="Trade Gothic;sans-serif"/>
          <w:b/>
          <w:color w:val="000000"/>
          <w:sz w:val="20"/>
          <w:bdr w:val="single" w:sz="8" w:space="18" w:color="000000"/>
        </w:rPr>
      </w:pPr>
      <w:r>
        <w:rPr>
          <w:rFonts w:ascii="Trade Gothic;sans-serif" w:hAnsi="Trade Gothic;sans-serif"/>
          <w:b/>
          <w:color w:val="000000"/>
          <w:sz w:val="20"/>
          <w:bdr w:val="single" w:sz="8" w:space="18" w:color="000000"/>
        </w:rPr>
        <w:t>PROSPECTUS SUMMARY</w:t>
      </w:r>
    </w:p>
    <w:p>
      <w:pPr>
        <w:pStyle w:val="TextBody"/>
        <w:bidi w:val="0"/>
        <w:spacing w:lineRule="auto" w:line="288" w:before="0" w:after="240"/>
        <w:jc w:val="left"/>
        <w:rPr/>
      </w:pPr>
      <w:r>
        <w:rPr>
          <w:rFonts w:ascii="Trade Gothic;sans-serif" w:hAnsi="Trade Gothic;sans-serif"/>
          <w:b w:val="false"/>
          <w:i/>
          <w:color w:val="000000"/>
          <w:sz w:val="20"/>
          <w:bdr w:val="single" w:sz="8" w:space="18" w:color="000000"/>
        </w:rPr>
        <w:t>This summary highlights information included elsewhere in this prospectus or incorporated herein by reference. This summary does not contain all the information that may be important to you. You should read and consider this entire prospectus carefully, including the sections titled “</w:t>
      </w:r>
      <w:hyperlink w:anchor="i84c570089d0c41b7a6e7b01f182eda30_19">
        <w:r>
          <w:rPr>
            <w:rStyle w:val="InternetLink"/>
            <w:rFonts w:ascii="Trade Gothic;sans-serif" w:hAnsi="Trade Gothic;sans-serif"/>
            <w:b w:val="false"/>
            <w:i/>
            <w:color w:val="0000FF"/>
            <w:sz w:val="20"/>
            <w:u w:val="single"/>
            <w:bdr w:val="single" w:sz="8" w:space="18" w:color="000000"/>
          </w:rPr>
          <w:t>Risk Factors</w:t>
        </w:r>
      </w:hyperlink>
      <w:r>
        <w:rPr>
          <w:color w:val="000000"/>
          <w:bdr w:val="single" w:sz="8" w:space="18" w:color="000000"/>
        </w:rPr>
        <w:t xml:space="preserve">” </w:t>
      </w:r>
      <w:r>
        <w:rPr>
          <w:rFonts w:ascii="Trade Gothic;sans-serif" w:hAnsi="Trade Gothic;sans-serif"/>
          <w:b w:val="false"/>
          <w:i/>
          <w:color w:val="000000"/>
          <w:sz w:val="20"/>
          <w:bdr w:val="single" w:sz="8" w:space="18" w:color="000000"/>
        </w:rPr>
        <w:t>and “</w:t>
      </w:r>
      <w:hyperlink w:anchor="i84c570089d0c41b7a6e7b01f182eda30_19">
        <w:r>
          <w:rPr>
            <w:rStyle w:val="InternetLink"/>
            <w:rFonts w:ascii="Trade Gothic;sans-serif" w:hAnsi="Trade Gothic;sans-serif"/>
            <w:b w:val="false"/>
            <w:i/>
            <w:color w:val="0000FF"/>
            <w:sz w:val="20"/>
            <w:u w:val="single"/>
            <w:bdr w:val="single" w:sz="8" w:space="18" w:color="000000"/>
          </w:rPr>
          <w:t>Special Note Regarding Forward-Looking Statements</w:t>
        </w:r>
      </w:hyperlink>
      <w:r>
        <w:rPr>
          <w:color w:val="000000"/>
          <w:bdr w:val="single" w:sz="8" w:space="18" w:color="000000"/>
        </w:rPr>
        <w:t xml:space="preserve">” </w:t>
      </w:r>
      <w:r>
        <w:rPr>
          <w:rFonts w:ascii="Trade Gothic;sans-serif" w:hAnsi="Trade Gothic;sans-serif"/>
          <w:b w:val="false"/>
          <w:i/>
          <w:color w:val="000000"/>
          <w:sz w:val="20"/>
          <w:bdr w:val="single" w:sz="8" w:space="18" w:color="000000"/>
        </w:rPr>
        <w:t xml:space="preserve">appearing in this prospectus and the “Risk Factors,” “Special Note Regarding Forward-Looking Statements,” “Management’s Discussion and Analysis of Financial Condition and Results of Operations” as well as our financial statements and the notes thereto including in the documents incorporated by reference herein. Except where the context otherwise requires or where otherwise indicated, the terms “Veradermics,” “we,” “us,” “our,” “the Company,” and “our business” refer to Veradermics, Incorporated and its consolidated subsidiaries. </w:t>
      </w:r>
    </w:p>
    <w:p>
      <w:pPr>
        <w:pStyle w:val="TextBody"/>
        <w:bidi w:val="0"/>
        <w:spacing w:lineRule="auto" w:line="288" w:before="240" w:after="80"/>
        <w:jc w:val="left"/>
        <w:rPr>
          <w:rFonts w:ascii="Trade Gothic;sans-serif" w:hAnsi="Trade Gothic;sans-serif"/>
          <w:b/>
          <w:color w:val="000000"/>
          <w:sz w:val="20"/>
          <w:bdr w:val="single" w:sz="8" w:space="18" w:color="000000"/>
        </w:rPr>
      </w:pPr>
      <w:r>
        <w:rPr>
          <w:rFonts w:ascii="Trade Gothic;sans-serif" w:hAnsi="Trade Gothic;sans-serif"/>
          <w:b/>
          <w:color w:val="000000"/>
          <w:sz w:val="20"/>
          <w:bdr w:val="single" w:sz="8" w:space="18" w:color="000000"/>
        </w:rPr>
        <w:t xml:space="preserve">Overview </w:t>
      </w:r>
    </w:p>
    <w:p>
      <w:pPr>
        <w:pStyle w:val="TextBody"/>
        <w:bidi w:val="0"/>
        <w:spacing w:lineRule="auto" w:line="288" w:before="0" w:after="240"/>
        <w:jc w:val="left"/>
        <w:rPr>
          <w:rFonts w:ascii="Trade Gothic;sans-serif" w:hAnsi="Trade Gothic;sans-serif"/>
          <w:b w:val="false"/>
          <w:color w:val="000000"/>
          <w:sz w:val="20"/>
          <w:bdr w:val="single" w:sz="8" w:space="18" w:color="000000"/>
        </w:rPr>
      </w:pPr>
      <w:r>
        <w:rPr>
          <w:rFonts w:ascii="Trade Gothic;sans-serif" w:hAnsi="Trade Gothic;sans-serif"/>
          <w:b w:val="false"/>
          <w:color w:val="000000"/>
          <w:sz w:val="20"/>
          <w:bdr w:val="single" w:sz="8" w:space="18" w:color="000000"/>
        </w:rPr>
        <w:t xml:space="preserve">We are a dermatologist-founded, late clinical-stage biopharmaceutical company focused on developing innovative therapeutics to address pervasive treatment challenges in highly prevalent aesthetic and dermatological conditions. Our initial focus is developing better treatments for pattern hair loss, or PHL, a condition affecting approximately 50 million men and 30 million women in the United States. Current PHL treatment options are limited and therefore are consistently plagued with high rates of treatment failure, patient dissatisfaction and treatment discontinuation. Patients and healthcare providers routinely identify the following shortcomings with currently available treatment options: </w:t>
      </w:r>
    </w:p>
    <w:p>
      <w:pPr>
        <w:pStyle w:val="TextBody"/>
        <w:bidi w:val="0"/>
        <w:spacing w:lineRule="auto" w:line="288" w:before="0" w:after="40"/>
        <w:ind w:left="0" w:right="0" w:hanging="360"/>
        <w:jc w:val="left"/>
        <w:rPr/>
      </w:pPr>
      <w:r>
        <w:rPr>
          <w:color w:val="000000"/>
        </w:rPr>
        <w:t>■</w:t>
      </w:r>
      <w:r>
        <w:rPr>
          <w:rFonts w:ascii="Trade Gothic;sans-serif" w:hAnsi="Trade Gothic;sans-serif"/>
          <w:b w:val="false"/>
          <w:color w:val="000000"/>
          <w:sz w:val="20"/>
        </w:rPr>
        <w:t>Slow onset of hair growth</w:t>
      </w:r>
    </w:p>
    <w:p>
      <w:pPr>
        <w:pStyle w:val="TextBody"/>
        <w:bidi w:val="0"/>
        <w:spacing w:lineRule="auto" w:line="288" w:before="0" w:after="40"/>
        <w:ind w:left="0" w:right="0" w:hanging="360"/>
        <w:jc w:val="left"/>
        <w:rPr/>
      </w:pPr>
      <w:r>
        <w:rPr>
          <w:color w:val="000000"/>
        </w:rPr>
        <w:t>■</w:t>
      </w:r>
      <w:r>
        <w:rPr>
          <w:rFonts w:ascii="Trade Gothic;sans-serif" w:hAnsi="Trade Gothic;sans-serif"/>
          <w:b w:val="false"/>
          <w:color w:val="000000"/>
          <w:sz w:val="20"/>
        </w:rPr>
        <w:t>Inconsistent results</w:t>
      </w:r>
    </w:p>
    <w:p>
      <w:pPr>
        <w:pStyle w:val="TextBody"/>
        <w:bidi w:val="0"/>
        <w:spacing w:lineRule="auto" w:line="288" w:before="0" w:after="40"/>
        <w:ind w:left="0" w:right="0" w:hanging="360"/>
        <w:jc w:val="left"/>
        <w:rPr/>
      </w:pPr>
      <w:r>
        <w:rPr>
          <w:color w:val="000000"/>
        </w:rPr>
        <w:t>■</w:t>
      </w:r>
      <w:r>
        <w:rPr>
          <w:rFonts w:ascii="Trade Gothic;sans-serif" w:hAnsi="Trade Gothic;sans-serif"/>
          <w:b w:val="false"/>
          <w:color w:val="000000"/>
          <w:sz w:val="20"/>
        </w:rPr>
        <w:t>Insufficient density of hair growth for patient satisfaction</w:t>
      </w:r>
    </w:p>
    <w:p>
      <w:pPr>
        <w:pStyle w:val="TextBody"/>
        <w:bidi w:val="0"/>
        <w:spacing w:lineRule="auto" w:line="288" w:before="0" w:after="40"/>
        <w:ind w:left="0" w:right="0" w:hanging="360"/>
        <w:jc w:val="left"/>
        <w:rPr/>
      </w:pPr>
      <w:r>
        <w:rPr>
          <w:color w:val="000000"/>
        </w:rPr>
        <w:t>■</w:t>
      </w:r>
      <w:r>
        <w:rPr>
          <w:rFonts w:ascii="Trade Gothic;sans-serif" w:hAnsi="Trade Gothic;sans-serif"/>
          <w:b w:val="false"/>
          <w:color w:val="000000"/>
          <w:sz w:val="20"/>
        </w:rPr>
        <w:t>Tolerability issues related to hormonal, mood and cardiac side effects</w:t>
      </w:r>
    </w:p>
    <w:p>
      <w:pPr>
        <w:pStyle w:val="TextBody"/>
        <w:bidi w:val="0"/>
        <w:spacing w:lineRule="auto" w:line="288" w:before="0" w:after="40"/>
        <w:ind w:left="0" w:right="0" w:hanging="360"/>
        <w:jc w:val="left"/>
        <w:rPr/>
      </w:pPr>
      <w:r>
        <w:rPr>
          <w:color w:val="000000"/>
        </w:rPr>
        <w:t>■</w:t>
      </w:r>
      <w:r>
        <w:rPr>
          <w:rFonts w:ascii="Trade Gothic;sans-serif" w:hAnsi="Trade Gothic;sans-serif"/>
          <w:b w:val="false"/>
          <w:color w:val="000000"/>
          <w:sz w:val="20"/>
        </w:rPr>
        <w:t xml:space="preserve">Inconvenient administration </w:t>
      </w:r>
    </w:p>
    <w:p>
      <w:pPr>
        <w:pStyle w:val="TextBody"/>
        <w:bidi w:val="0"/>
        <w:spacing w:lineRule="auto" w:line="288" w:before="0" w:after="240"/>
        <w:ind w:left="0" w:right="0" w:hanging="360"/>
        <w:jc w:val="left"/>
        <w:rPr/>
      </w:pPr>
      <w:r>
        <w:rPr>
          <w:color w:val="000000"/>
        </w:rPr>
        <w:t>■</w:t>
      </w:r>
      <w:r>
        <w:rPr>
          <w:rFonts w:ascii="Trade Gothic;sans-serif" w:hAnsi="Trade Gothic;sans-serif"/>
          <w:b w:val="false"/>
          <w:color w:val="000000"/>
          <w:sz w:val="20"/>
        </w:rPr>
        <w:t xml:space="preserve">Limited U.S. Food and Drug Administration, or FDA, approved treatment options, and no FDA-approved oral options for women </w:t>
      </w:r>
    </w:p>
    <w:p>
      <w:pPr>
        <w:pStyle w:val="TextBody"/>
        <w:bidi w:val="0"/>
        <w:spacing w:lineRule="auto" w:line="288" w:before="0" w:after="240"/>
        <w:jc w:val="left"/>
        <w:rPr>
          <w:rFonts w:ascii="Trade Gothic;sans-serif" w:hAnsi="Trade Gothic;sans-serif"/>
          <w:b w:val="false"/>
          <w:color w:val="000000"/>
          <w:sz w:val="20"/>
          <w:bdr w:val="single" w:sz="8" w:space="18" w:color="000000"/>
        </w:rPr>
      </w:pPr>
      <w:r>
        <w:rPr>
          <w:rFonts w:ascii="Trade Gothic;sans-serif" w:hAnsi="Trade Gothic;sans-serif"/>
          <w:b w:val="false"/>
          <w:color w:val="000000"/>
          <w:sz w:val="20"/>
          <w:bdr w:val="single" w:sz="8" w:space="18" w:color="000000"/>
        </w:rPr>
        <w:t>We are developing VDPHL01 as an oral, non-hormonal treatment for men and women with PHL to reduce the barriers to wide adoption of chronic hair loss therapy and potentially transform PHL treatment. We believe that a marketing application could initially seek approval in male patients, followed by a supplemental new drug application, or sNDA, for female patients, or could alternatively pursue approval in both male and female patients simultaneously depending on the timing of the completion of our clinical trials.</w:t>
      </w:r>
    </w:p>
    <w:p>
      <w:pPr>
        <w:pStyle w:val="TextBody"/>
        <w:bidi w:val="0"/>
        <w:spacing w:lineRule="auto" w:line="288" w:before="0" w:after="240"/>
        <w:jc w:val="left"/>
        <w:rPr>
          <w:rFonts w:ascii="Trade Gothic;sans-serif" w:hAnsi="Trade Gothic;sans-serif"/>
          <w:b w:val="false"/>
          <w:color w:val="000000"/>
          <w:sz w:val="20"/>
          <w:bdr w:val="single" w:sz="8" w:space="18" w:color="000000"/>
        </w:rPr>
      </w:pPr>
      <w:r>
        <w:rPr>
          <w:rFonts w:ascii="Trade Gothic;sans-serif" w:hAnsi="Trade Gothic;sans-serif"/>
          <w:b w:val="false"/>
          <w:color w:val="000000"/>
          <w:sz w:val="20"/>
          <w:bdr w:val="single" w:sz="8" w:space="18" w:color="000000"/>
        </w:rPr>
        <w:t>VDPHL01 is an oral, extended-release, or ER, formulation of minoxidil, a proven hair growth agent, designed to maximize minoxidil’s impact on hair restoration while minimizing the risk of cardiac activity. Though immediate-release, or IR, oral minoxidil was originally designed to treat resistant hypertension, it has been used off label as a treatment for PHL after hair growth was observed as a side effect. However, IR oral minoxidil’s release profile was not designed for hair growth as its short duration of circulation allows less time for follicular saturation and must be used at lower doses to reduce the likelihood of reaching off target cardiac stimulative levels. VDPHL01 builds on minoxidil’s validated hair growth biology via a novel and proprietary ER formulation designed to maximize the total plasma concentrations of minoxidil known to grow hair without inducing changes in cardiac activity. We believe that our efforts mark the first attempt to bring an ER formulation of minoxidil to patients with these optimized pharmacokinetic, or PK, and pharmacodynamic, or PD, qualities that raise the ceiling of hair growth.</w:t>
      </w:r>
    </w:p>
    <w:p>
      <w:pPr>
        <w:pStyle w:val="TextBody"/>
        <w:bidi w:val="0"/>
        <w:spacing w:lineRule="auto" w:line="288" w:before="240" w:after="80"/>
        <w:jc w:val="left"/>
        <w:rPr>
          <w:rFonts w:ascii="Trade Gothic;sans-serif" w:hAnsi="Trade Gothic;sans-serif"/>
          <w:b/>
          <w:color w:val="000000"/>
          <w:sz w:val="20"/>
          <w:bdr w:val="single" w:sz="8" w:space="18" w:color="000000"/>
        </w:rPr>
      </w:pPr>
      <w:r>
        <w:rPr>
          <w:rFonts w:ascii="Trade Gothic;sans-serif" w:hAnsi="Trade Gothic;sans-serif"/>
          <w:b/>
          <w:color w:val="000000"/>
          <w:sz w:val="20"/>
          <w:bdr w:val="single" w:sz="8" w:space="18" w:color="000000"/>
        </w:rPr>
        <w:t>Our Corporate Information</w:t>
      </w:r>
    </w:p>
    <w:p>
      <w:pPr>
        <w:pStyle w:val="TextBody"/>
        <w:bidi w:val="0"/>
        <w:spacing w:lineRule="auto" w:line="288" w:before="0" w:after="240"/>
        <w:jc w:val="left"/>
        <w:rPr>
          <w:rFonts w:ascii="Trade Gothic;sans-serif" w:hAnsi="Trade Gothic;sans-serif"/>
          <w:b w:val="false"/>
          <w:color w:val="000000"/>
          <w:sz w:val="20"/>
          <w:bdr w:val="single" w:sz="8" w:space="18" w:color="000000"/>
        </w:rPr>
      </w:pPr>
      <w:r>
        <w:rPr>
          <w:rFonts w:ascii="Trade Gothic;sans-serif" w:hAnsi="Trade Gothic;sans-serif"/>
          <w:b w:val="false"/>
          <w:color w:val="000000"/>
          <w:sz w:val="20"/>
          <w:bdr w:val="single" w:sz="8" w:space="18" w:color="000000"/>
        </w:rPr>
        <w:t>We were originally incorporated on October 5, 2019, as VeraDermics, Incorporated, a Texas corporation. On September 15, 2021, we converted to a Delaware corporation. Our principal executive offices are located at 470 James St., New Haven, Connecticut 06513, and our telephone number is (228) 372-3376. Our corporate website address is www.veradermics.com. Information contained on or accessible through our website is not a part of this prospectus, and the inclusion of our website address in this prospectus is an inactive textual reference only.</w:t>
      </w:r>
    </w:p>
    <w:p>
      <w:pPr>
        <w:pStyle w:val="TextBody"/>
        <w:bidi w:val="0"/>
        <w:spacing w:before="0" w:after="0"/>
        <w:jc w:val="righ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40335"/>
                <wp:effectExtent l="0" t="0" r="0" b="0"/>
                <wp:wrapNone/>
                <wp:docPr id="5" name="Frame4"/>
                <a:graphic xmlns:a="http://schemas.openxmlformats.org/drawingml/2006/main">
                  <a:graphicData uri="http://schemas.microsoft.com/office/word/2010/wordprocessingShape">
                    <wps:wsp>
                      <wps:cNvSpPr txBox="1"/>
                      <wps:spPr>
                        <a:xfrm>
                          <a:off x="0" y="0"/>
                          <a:ext cx="6480175" cy="140335"/>
                        </a:xfrm>
                        <a:prstGeom prst="rect"/>
                        <a:solidFill>
                          <a:srgbClr val="FFFFFF"/>
                        </a:solidFill>
                      </wps:spPr>
                      <wps:txbx>
                        <w:txbxContent>
                          <w:p>
                            <w:pPr>
                              <w:pStyle w:val="TextBody"/>
                              <w:bidi w:val="0"/>
                              <w:spacing w:lineRule="auto" w:line="288" w:before="0" w:after="180"/>
                              <w:jc w:val="center"/>
                              <w:rPr>
                                <w:rFonts w:ascii="Trade Gothic;sans-serif" w:hAnsi="Trade Gothic;sans-serif"/>
                                <w:b w:val="false"/>
                                <w:color w:val="000000"/>
                                <w:sz w:val="19"/>
                              </w:rPr>
                            </w:pPr>
                            <w:r>
                              <w:rPr>
                                <w:rFonts w:ascii="Trade Gothic;sans-serif" w:hAnsi="Trade Gothic;sans-serif"/>
                                <w:b w:val="false"/>
                                <w:color w:val="000000"/>
                                <w:sz w:val="19"/>
                              </w:rPr>
                              <w:t>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0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180"/>
                        <w:jc w:val="center"/>
                        <w:rPr>
                          <w:rFonts w:ascii="Trade Gothic;sans-serif" w:hAnsi="Trade Gothic;sans-serif"/>
                          <w:b w:val="false"/>
                          <w:color w:val="000000"/>
                          <w:sz w:val="19"/>
                        </w:rPr>
                      </w:pPr>
                      <w:r>
                        <w:rPr>
                          <w:rFonts w:ascii="Trade Gothic;sans-serif" w:hAnsi="Trade Gothic;sans-serif"/>
                          <w:b w:val="false"/>
                          <w:color w:val="000000"/>
                          <w:sz w:val="19"/>
                        </w:rPr>
                        <w:t>1</w:t>
                      </w:r>
                    </w:p>
                  </w:txbxContent>
                </v:textbox>
                <w10:wrap type="none"/>
              </v:rect>
            </w:pict>
          </mc:Fallback>
        </mc:AlternateContent>
      </w:r>
    </w:p>
    <w:p>
      <w:pPr>
        <w:pStyle w:val="TextBody"/>
        <w:bidi w:val="0"/>
        <w:spacing w:lineRule="auto" w:line="288" w:before="240" w:after="80"/>
        <w:jc w:val="left"/>
        <w:rPr>
          <w:rFonts w:ascii="Trade Gothic;sans-serif" w:hAnsi="Trade Gothic;sans-serif"/>
          <w:b/>
          <w:color w:val="000000"/>
          <w:sz w:val="20"/>
          <w:bdr w:val="single" w:sz="8" w:space="18" w:color="000000"/>
        </w:rPr>
      </w:pPr>
      <w:r>
        <w:rPr>
          <w:rFonts w:ascii="Trade Gothic;sans-serif" w:hAnsi="Trade Gothic;sans-serif"/>
          <w:b/>
          <w:color w:val="000000"/>
          <w:sz w:val="20"/>
          <w:bdr w:val="single" w:sz="8" w:space="18" w:color="000000"/>
        </w:rPr>
        <w:t xml:space="preserve">Implications of Being an Emerging Growth Company and a Smaller Reporting Company </w:t>
      </w:r>
    </w:p>
    <w:p>
      <w:pPr>
        <w:pStyle w:val="TextBody"/>
        <w:bidi w:val="0"/>
        <w:spacing w:lineRule="auto" w:line="288" w:before="0" w:after="240"/>
        <w:jc w:val="left"/>
        <w:rPr>
          <w:rFonts w:ascii="Trade Gothic;sans-serif" w:hAnsi="Trade Gothic;sans-serif"/>
          <w:b w:val="false"/>
          <w:color w:val="000000"/>
          <w:sz w:val="20"/>
          <w:bdr w:val="single" w:sz="8" w:space="18" w:color="000000"/>
        </w:rPr>
      </w:pPr>
      <w:r>
        <w:rPr>
          <w:rFonts w:ascii="Trade Gothic;sans-serif" w:hAnsi="Trade Gothic;sans-serif"/>
          <w:b w:val="false"/>
          <w:color w:val="000000"/>
          <w:sz w:val="20"/>
          <w:bdr w:val="single" w:sz="8" w:space="18" w:color="000000"/>
        </w:rPr>
        <w:t>We qualify as an “emerging growth company” as defined in the Jumpstart Our Business Startups Act of 2012, or the JOBS Act. As an emerging growth company, we may take advantage of specified reduced disclosure and other requirements that are otherwise applicable generally to public companies, including reduced disclosure about our executive compensation arrangements, exemption from the requirements to hold non-binding advisory votes on executive compensation and golden parachute payments and exemption from the auditor attestation requirement in the assessment of our internal control over financial reporting.</w:t>
      </w:r>
    </w:p>
    <w:p>
      <w:pPr>
        <w:pStyle w:val="TextBody"/>
        <w:bidi w:val="0"/>
        <w:spacing w:lineRule="auto" w:line="288" w:before="0" w:after="240"/>
        <w:jc w:val="left"/>
        <w:rPr>
          <w:rFonts w:ascii="Trade Gothic;sans-serif" w:hAnsi="Trade Gothic;sans-serif"/>
          <w:b w:val="false"/>
          <w:color w:val="000000"/>
          <w:sz w:val="20"/>
          <w:bdr w:val="single" w:sz="8" w:space="18" w:color="000000"/>
        </w:rPr>
      </w:pPr>
      <w:r>
        <w:rPr>
          <w:rFonts w:ascii="Trade Gothic;sans-serif" w:hAnsi="Trade Gothic;sans-serif"/>
          <w:b w:val="false"/>
          <w:color w:val="000000"/>
          <w:sz w:val="20"/>
          <w:bdr w:val="single" w:sz="8" w:space="18" w:color="000000"/>
        </w:rPr>
        <w:t xml:space="preserve">We may take advantage of these exemptions until the last day of the fiscal year following the fifth anniversary of the closing of our initial public offering, or IPO, or such earlier time that we are no longer an emerging growth company. We would cease to be an emerging growth company earlier if we have more than $1.235 billion in annual revenue, we have more than $700.0 million in market value of our stock held by non-affiliates (and we have been a public company for at least 12 months and have filed one Annual Report on Form 10-K) or we issue more than $1.0 billion of non-convertible debt securities over a three year period. For so long as we remain an emerging growth company, we are permitted, and intend, to rely on exemptions from certain disclosure requirements that are applicable to other public companies that are not emerging growth companies. We may choose to take advantage of some, but not all, of the available exemptions. </w:t>
      </w:r>
    </w:p>
    <w:p>
      <w:pPr>
        <w:pStyle w:val="TextBody"/>
        <w:bidi w:val="0"/>
        <w:spacing w:lineRule="auto" w:line="288" w:before="0" w:after="240"/>
        <w:jc w:val="left"/>
        <w:rPr>
          <w:rFonts w:ascii="Trade Gothic;sans-serif" w:hAnsi="Trade Gothic;sans-serif"/>
          <w:b w:val="false"/>
          <w:color w:val="000000"/>
          <w:sz w:val="20"/>
          <w:bdr w:val="single" w:sz="8" w:space="18" w:color="000000"/>
        </w:rPr>
      </w:pPr>
      <w:r>
        <w:rPr>
          <w:rFonts w:ascii="Trade Gothic;sans-serif" w:hAnsi="Trade Gothic;sans-serif"/>
          <w:b w:val="false"/>
          <w:color w:val="000000"/>
          <w:sz w:val="20"/>
          <w:bdr w:val="single" w:sz="8" w:space="18" w:color="000000"/>
        </w:rPr>
        <w:t>We have elected to take advantage of certain of the reduced disclosure obligations in the registration statement of which this prospectus is a part and may elect to take advantage of other reduced reporting requirements in future filings. In particular, in this prospectus, we have provided only two years of audited financial statements and have not included all of the executive compensation-related information that would be required if we were not an emerging growth company. As a result, the information that we provide to our stockholders may be different than you might receive from other public reporting companies in which you hold equity interests.</w:t>
      </w:r>
    </w:p>
    <w:p>
      <w:pPr>
        <w:pStyle w:val="TextBody"/>
        <w:bidi w:val="0"/>
        <w:spacing w:lineRule="auto" w:line="288" w:before="0" w:after="240"/>
        <w:jc w:val="left"/>
        <w:rPr>
          <w:rFonts w:ascii="Trade Gothic;sans-serif" w:hAnsi="Trade Gothic;sans-serif"/>
          <w:b w:val="false"/>
          <w:color w:val="000000"/>
          <w:sz w:val="20"/>
          <w:bdr w:val="single" w:sz="8" w:space="18" w:color="000000"/>
        </w:rPr>
      </w:pPr>
      <w:r>
        <w:rPr>
          <w:rFonts w:ascii="Trade Gothic;sans-serif" w:hAnsi="Trade Gothic;sans-serif"/>
          <w:b w:val="false"/>
          <w:color w:val="000000"/>
          <w:sz w:val="20"/>
          <w:bdr w:val="single" w:sz="8" w:space="18" w:color="000000"/>
        </w:rPr>
        <w:t>In addition, the JOBS Act provides that an emerging growth company can take advantage of an extended transition period for complying with new or revised accounting standards. This allows an emerging growth company to delay the adoption of certain accounting standards until those standards would otherwise apply to private companies. We have elected not to “opt out” of such extended transition period, which means that when a standard is issued or revised and it has different application dates for public or private companies, we will adopt the new or revised standard at the time private companies adopt the new or revised standard and will do so until such time that we either (i) irrevocably elect to “opt out” of such extended transition period or (ii) no longer qualify as an emerging growth company. We may choose to early adopt any new or revised accounting standards whenever such early adoption is permitted for private companies. Therefore, the reported results of operations contained in our financial statements may not be directly comparable to those of other public companies.</w:t>
      </w:r>
    </w:p>
    <w:p>
      <w:pPr>
        <w:pStyle w:val="TextBody"/>
        <w:bidi w:val="0"/>
        <w:spacing w:lineRule="auto" w:line="288" w:before="0" w:after="240"/>
        <w:jc w:val="left"/>
        <w:rPr>
          <w:rFonts w:ascii="Trade Gothic;sans-serif" w:hAnsi="Trade Gothic;sans-serif"/>
          <w:b w:val="false"/>
          <w:color w:val="000000"/>
          <w:sz w:val="20"/>
          <w:bdr w:val="single" w:sz="8" w:space="18" w:color="000000"/>
        </w:rPr>
      </w:pPr>
      <w:r>
        <w:rPr>
          <w:rFonts w:ascii="Trade Gothic;sans-serif" w:hAnsi="Trade Gothic;sans-serif"/>
          <w:b w:val="false"/>
          <w:color w:val="000000"/>
          <w:sz w:val="20"/>
          <w:bdr w:val="single" w:sz="8" w:space="18" w:color="000000"/>
        </w:rPr>
        <w:t>We are also a “smaller reporting company,” as defined in the Securities Exchange Act of 1934, as amended, or the Exchange Act. We will continue to be a smaller reporting company as long as (i) the market value of our stock held by non-affiliates is less than $250.0 million or (ii) our annual revenue is less than $100.0 million during the most recently completed fiscal year and the market value of our stock held by non-affiliates is less than $700.0 million. If we are a smaller reporting company at the time we cease to be an emerging growth company, we may continue to rely on exemptions from certain disclosure requirements that are available to smaller reporting companies. Specifically, as a smaller reporting company we may choose to present only the two most recent fiscal years of audited financial statements in our Annual Report and, similar to emerging growth companies, smaller reporting companies have reduced disclosure obligations regarding executive compensation. We may continue to be a smaller reporting company until the fiscal year following the determination that we no longer meet the requirements necessary to be considered a smaller reporting company.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righ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40335"/>
                <wp:effectExtent l="0" t="0" r="0" b="0"/>
                <wp:wrapNone/>
                <wp:docPr id="6" name="Frame5"/>
                <a:graphic xmlns:a="http://schemas.openxmlformats.org/drawingml/2006/main">
                  <a:graphicData uri="http://schemas.microsoft.com/office/word/2010/wordprocessingShape">
                    <wps:wsp>
                      <wps:cNvSpPr txBox="1"/>
                      <wps:spPr>
                        <a:xfrm>
                          <a:off x="0" y="0"/>
                          <a:ext cx="6480175" cy="140335"/>
                        </a:xfrm>
                        <a:prstGeom prst="rect"/>
                        <a:solidFill>
                          <a:srgbClr val="FFFFFF"/>
                        </a:solidFill>
                      </wps:spPr>
                      <wps:txbx>
                        <w:txbxContent>
                          <w:p>
                            <w:pPr>
                              <w:pStyle w:val="TextBody"/>
                              <w:bidi w:val="0"/>
                              <w:spacing w:lineRule="auto" w:line="288" w:before="0" w:after="180"/>
                              <w:jc w:val="center"/>
                              <w:rPr>
                                <w:rFonts w:ascii="Trade Gothic;sans-serif" w:hAnsi="Trade Gothic;sans-serif"/>
                                <w:b w:val="false"/>
                                <w:color w:val="000000"/>
                                <w:sz w:val="19"/>
                              </w:rPr>
                            </w:pPr>
                            <w:r>
                              <w:rPr>
                                <w:rFonts w:ascii="Trade Gothic;sans-serif" w:hAnsi="Trade Gothic;sans-serif"/>
                                <w:b w:val="false"/>
                                <w:color w:val="000000"/>
                                <w:sz w:val="19"/>
                              </w:rPr>
                              <w:t>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0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180"/>
                        <w:jc w:val="center"/>
                        <w:rPr>
                          <w:rFonts w:ascii="Trade Gothic;sans-serif" w:hAnsi="Trade Gothic;sans-serif"/>
                          <w:b w:val="false"/>
                          <w:color w:val="000000"/>
                          <w:sz w:val="19"/>
                        </w:rPr>
                      </w:pPr>
                      <w:r>
                        <w:rPr>
                          <w:rFonts w:ascii="Trade Gothic;sans-serif" w:hAnsi="Trade Gothic;sans-serif"/>
                          <w:b w:val="false"/>
                          <w:color w:val="000000"/>
                          <w:sz w:val="19"/>
                        </w:rPr>
                        <w:t>2</w:t>
                      </w:r>
                    </w:p>
                  </w:txbxContent>
                </v:textbox>
                <w10:wrap type="none"/>
              </v:rect>
            </w:pict>
          </mc:Fallback>
        </mc:AlternateContent>
      </w:r>
    </w:p>
    <w:p>
      <w:pPr>
        <w:pStyle w:val="TextBody"/>
        <w:bidi w:val="0"/>
        <w:spacing w:lineRule="auto" w:line="288" w:before="0" w:after="360"/>
        <w:jc w:val="center"/>
        <w:rPr>
          <w:rFonts w:ascii="Trade Gothic;sans-serif" w:hAnsi="Trade Gothic;sans-serif"/>
          <w:b/>
          <w:color w:val="000000"/>
          <w:sz w:val="20"/>
        </w:rPr>
      </w:pPr>
      <w:r>
        <w:rPr>
          <w:rFonts w:ascii="Trade Gothic;sans-serif" w:hAnsi="Trade Gothic;sans-serif"/>
          <w:b/>
          <w:color w:val="000000"/>
          <w:sz w:val="20"/>
        </w:rPr>
        <w:t>RISK FACTORS</w:t>
      </w:r>
    </w:p>
    <w:p>
      <w:pPr>
        <w:pStyle w:val="TextBody"/>
        <w:bidi w:val="0"/>
        <w:spacing w:lineRule="auto" w:line="288" w:before="0" w:after="240"/>
        <w:jc w:val="left"/>
        <w:rPr/>
      </w:pPr>
      <w:r>
        <w:rPr>
          <w:rFonts w:ascii="Trade Gothic;sans-serif" w:hAnsi="Trade Gothic;sans-serif"/>
          <w:b w:val="false"/>
          <w:color w:val="000000"/>
          <w:sz w:val="20"/>
        </w:rPr>
        <w:t>Investing in our common stock involves a high degree of risk. Before deciding to invest in shares of our common stock, you should carefully consider the risks described below and those discussed under the section titled “</w:t>
      </w:r>
      <w:r>
        <w:fldChar w:fldCharType="begin"/>
      </w:r>
      <w:r>
        <w:rPr>
          <w:rStyle w:val="InternetLink"/>
          <w:sz w:val="20"/>
          <w:u w:val="single"/>
          <w:b w:val="false"/>
          <w:rFonts w:ascii="Trade Gothic;sans-serif" w:hAnsi="Trade Gothic;sans-serif"/>
          <w:color w:val="0000FF"/>
        </w:rPr>
        <w:instrText xml:space="preserve"> HYPERLINK "https://www.sec.gov/ix?doc=/Archives/edgar/data/0001827635/000182763526000013/mane-20251231.htm" \l "i9ca5e2be7bb943599d309f8713a7177d_13"</w:instrText>
      </w:r>
      <w:r>
        <w:rPr>
          <w:rStyle w:val="InternetLink"/>
          <w:sz w:val="20"/>
          <w:u w:val="single"/>
          <w:b w:val="false"/>
          <w:rFonts w:ascii="Trade Gothic;sans-serif" w:hAnsi="Trade Gothic;sans-serif"/>
          <w:color w:val="0000FF"/>
        </w:rPr>
        <w:fldChar w:fldCharType="separate"/>
      </w:r>
      <w:r>
        <w:rPr>
          <w:rStyle w:val="InternetLink"/>
          <w:rFonts w:ascii="Trade Gothic;sans-serif" w:hAnsi="Trade Gothic;sans-serif"/>
          <w:b w:val="false"/>
          <w:color w:val="0000FF"/>
          <w:sz w:val="20"/>
          <w:u w:val="single"/>
        </w:rPr>
        <w:t>Risk Factors</w:t>
      </w:r>
      <w:r>
        <w:rPr>
          <w:rStyle w:val="InternetLink"/>
          <w:sz w:val="20"/>
          <w:u w:val="single"/>
          <w:b w:val="false"/>
          <w:rFonts w:ascii="Trade Gothic;sans-serif" w:hAnsi="Trade Gothic;sans-serif"/>
          <w:color w:val="0000FF"/>
        </w:rPr>
        <w:fldChar w:fldCharType="end"/>
      </w:r>
      <w:r>
        <w:rPr>
          <w:color w:val="000000"/>
        </w:rPr>
        <w:t xml:space="preserve">” </w:t>
      </w:r>
      <w:r>
        <w:rPr>
          <w:rFonts w:ascii="Trade Gothic;sans-serif" w:hAnsi="Trade Gothic;sans-serif"/>
          <w:b w:val="false"/>
          <w:color w:val="000000"/>
          <w:sz w:val="20"/>
        </w:rPr>
        <w:t>contained in our Annual Report on Form 10-K for the year ended December 31, 2025, as filed with the SEC on March 31, 2026, or our Annual Report, and in our subsequent filings with the SEC, together with the other information contained or incorporated by reference in this prospectus, including in “</w:t>
      </w:r>
      <w:r>
        <w:fldChar w:fldCharType="begin"/>
      </w:r>
      <w:r>
        <w:rPr>
          <w:rStyle w:val="InternetLink"/>
          <w:sz w:val="20"/>
          <w:u w:val="single"/>
          <w:b w:val="false"/>
          <w:rFonts w:ascii="Trade Gothic;sans-serif" w:hAnsi="Trade Gothic;sans-serif"/>
          <w:color w:val="0000FF"/>
        </w:rPr>
        <w:instrText xml:space="preserve"> HYPERLINK "https://www.sec.gov/ix?doc=/Archives/edgar/data/0001827635/000182763526000013/mane-20251231.htm" \l "i9ca5e2be7bb943599d309f8713a7177d_37"</w:instrText>
      </w:r>
      <w:r>
        <w:rPr>
          <w:rStyle w:val="InternetLink"/>
          <w:sz w:val="20"/>
          <w:u w:val="single"/>
          <w:b w:val="false"/>
          <w:rFonts w:ascii="Trade Gothic;sans-serif" w:hAnsi="Trade Gothic;sans-serif"/>
          <w:color w:val="0000FF"/>
        </w:rPr>
        <w:fldChar w:fldCharType="separate"/>
      </w:r>
      <w:r>
        <w:rPr>
          <w:rStyle w:val="InternetLink"/>
          <w:rFonts w:ascii="Trade Gothic;sans-serif" w:hAnsi="Trade Gothic;sans-serif"/>
          <w:b w:val="false"/>
          <w:color w:val="0000FF"/>
          <w:sz w:val="20"/>
          <w:u w:val="single"/>
        </w:rPr>
        <w:t>Management’s Discussion and Analysis of Financial Condition and Results of Operations</w:t>
      </w:r>
      <w:r>
        <w:rPr>
          <w:rStyle w:val="InternetLink"/>
          <w:sz w:val="20"/>
          <w:u w:val="single"/>
          <w:b w:val="false"/>
          <w:rFonts w:ascii="Trade Gothic;sans-serif" w:hAnsi="Trade Gothic;sans-serif"/>
          <w:color w:val="0000FF"/>
        </w:rPr>
        <w:fldChar w:fldCharType="end"/>
      </w:r>
      <w:r>
        <w:rPr>
          <w:color w:val="000000"/>
        </w:rPr>
        <w:t xml:space="preserve">” </w:t>
      </w:r>
      <w:r>
        <w:rPr>
          <w:rFonts w:ascii="Trade Gothic;sans-serif" w:hAnsi="Trade Gothic;sans-serif"/>
          <w:b w:val="false"/>
          <w:color w:val="000000"/>
          <w:sz w:val="20"/>
        </w:rPr>
        <w:t>as well as our audited financial statements and the related notes in our Annual Report and in our subsequent filings with the SEC. The events discussed below may occur and adversely impact our business, financial condition, results of operations and prospects, which may cause the trading price of our common stock to decline, resulting in you losing all or part of your investment.</w:t>
      </w:r>
    </w:p>
    <w:p>
      <w:pPr>
        <w:pStyle w:val="TextBody"/>
        <w:bidi w:val="0"/>
        <w:spacing w:lineRule="auto" w:line="288" w:before="240" w:after="80"/>
        <w:jc w:val="left"/>
        <w:rPr>
          <w:rFonts w:ascii="Trade Gothic;sans-serif" w:hAnsi="Trade Gothic;sans-serif"/>
          <w:b/>
          <w:color w:val="000000"/>
          <w:sz w:val="20"/>
        </w:rPr>
      </w:pPr>
      <w:r>
        <w:rPr>
          <w:rFonts w:ascii="Trade Gothic;sans-serif" w:hAnsi="Trade Gothic;sans-serif"/>
          <w:b/>
          <w:color w:val="000000"/>
          <w:sz w:val="20"/>
        </w:rPr>
        <w:t>Risks Related to Ownership of Our Common Stock</w:t>
      </w:r>
    </w:p>
    <w:p>
      <w:pPr>
        <w:pStyle w:val="TextBody"/>
        <w:bidi w:val="0"/>
        <w:spacing w:lineRule="auto" w:line="288" w:before="0" w:after="180"/>
        <w:jc w:val="left"/>
        <w:rPr>
          <w:rFonts w:ascii="Trade Gothic;sans-serif" w:hAnsi="Trade Gothic;sans-serif"/>
          <w:b/>
          <w:i/>
          <w:color w:val="000000"/>
          <w:sz w:val="20"/>
        </w:rPr>
      </w:pPr>
      <w:r>
        <w:rPr>
          <w:rFonts w:ascii="Trade Gothic;sans-serif" w:hAnsi="Trade Gothic;sans-serif"/>
          <w:b/>
          <w:i/>
          <w:color w:val="000000"/>
          <w:sz w:val="20"/>
        </w:rPr>
        <w:t>The sale of the securities registered for resale hereunder and future sales of substantial amounts of our securities in the public market (including the shares of our common stock issuable upon the exercise of the Pre-Funded Warrants), or the perception that such sales may occur, may cause the market price of our common stock to decline significantly.</w:t>
      </w:r>
    </w:p>
    <w:p>
      <w:pPr>
        <w:pStyle w:val="TextBody"/>
        <w:bidi w:val="0"/>
        <w:spacing w:lineRule="auto" w:line="288" w:before="0" w:after="240"/>
        <w:jc w:val="left"/>
        <w:rPr>
          <w:rFonts w:ascii="Trade Gothic;sans-serif" w:hAnsi="Trade Gothic;sans-serif"/>
          <w:b w:val="false"/>
          <w:color w:val="000000"/>
          <w:sz w:val="20"/>
        </w:rPr>
      </w:pPr>
      <w:r>
        <w:rPr>
          <w:rFonts w:ascii="Trade Gothic;sans-serif" w:hAnsi="Trade Gothic;sans-serif"/>
          <w:b w:val="false"/>
          <w:color w:val="000000"/>
          <w:sz w:val="20"/>
        </w:rPr>
        <w:t>The Resale Shares represent a substantial percentage of our total outstanding common stock as of the date of this prospectus. The Resale Shares being offered for resale in this prospectus represent approximately 40.6% of our total outstanding common stock as of August 6, 2026, assuming the exercise of the Pre-Funded Warrants into shares of common stock without giving effect to beneficial ownership limitations, if any. The sale of the Resale Shares in the public market, or the perception that holders of a large number of securities intend to sell their securities, could significantly reduce the market price of our common stock.</w:t>
      </w:r>
    </w:p>
    <w:p>
      <w:pPr>
        <w:pStyle w:val="TextBody"/>
        <w:bidi w:val="0"/>
        <w:spacing w:lineRule="auto" w:line="288" w:before="0" w:after="240"/>
        <w:jc w:val="left"/>
        <w:rPr>
          <w:rFonts w:ascii="Trade Gothic;sans-serif" w:hAnsi="Trade Gothic;sans-serif"/>
          <w:b w:val="false"/>
          <w:color w:val="000000"/>
          <w:sz w:val="20"/>
        </w:rPr>
      </w:pPr>
      <w:r>
        <w:rPr>
          <w:rFonts w:ascii="Trade Gothic;sans-serif" w:hAnsi="Trade Gothic;sans-serif"/>
          <w:b w:val="false"/>
          <w:color w:val="000000"/>
          <w:sz w:val="20"/>
        </w:rPr>
        <w:t>We cannot predict if and when the selling stockholders may sell such shares in the public markets. Furthermore, in the future, we may issue additional shares of common stock or other equity or debt securities convertible into shares of common stock. Any such issuance could result in substantial dilution to our existing stockholders and could cause our stock price to decline.</w:t>
      </w:r>
    </w:p>
    <w:p>
      <w:pPr>
        <w:pStyle w:val="TextBody"/>
        <w:bidi w:val="0"/>
        <w:spacing w:before="0" w:after="0"/>
        <w:jc w:val="righ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140335"/>
                <wp:effectExtent l="0" t="0" r="0" b="0"/>
                <wp:wrapNone/>
                <wp:docPr id="7" name="Frame6"/>
                <a:graphic xmlns:a="http://schemas.openxmlformats.org/drawingml/2006/main">
                  <a:graphicData uri="http://schemas.microsoft.com/office/word/2010/wordprocessingShape">
                    <wps:wsp>
                      <wps:cNvSpPr txBox="1"/>
                      <wps:spPr>
                        <a:xfrm>
                          <a:off x="0" y="0"/>
                          <a:ext cx="6480175" cy="140335"/>
                        </a:xfrm>
                        <a:prstGeom prst="rect"/>
                        <a:solidFill>
                          <a:srgbClr val="FFFFFF"/>
                        </a:solidFill>
                      </wps:spPr>
                      <wps:txbx>
                        <w:txbxContent>
                          <w:p>
                            <w:pPr>
                              <w:pStyle w:val="TextBody"/>
                              <w:bidi w:val="0"/>
                              <w:spacing w:lineRule="auto" w:line="288" w:before="0" w:after="180"/>
                              <w:jc w:val="center"/>
                              <w:rPr>
                                <w:rFonts w:ascii="Trade Gothic;sans-serif" w:hAnsi="Trade Gothic;sans-serif"/>
                                <w:b w:val="false"/>
                                <w:color w:val="000000"/>
                                <w:sz w:val="19"/>
                              </w:rPr>
                            </w:pPr>
                            <w:r>
                              <w:rPr>
                                <w:rFonts w:ascii="Trade Gothic;sans-serif" w:hAnsi="Trade Gothic;sans-serif"/>
                                <w:b w:val="false"/>
                                <w:color w:val="000000"/>
                                <w:sz w:val="19"/>
                              </w:rPr>
                              <w:t>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0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180"/>
                        <w:jc w:val="center"/>
                        <w:rPr>
                          <w:rFonts w:ascii="Trade Gothic;sans-serif" w:hAnsi="Trade Gothic;sans-serif"/>
                          <w:b w:val="false"/>
                          <w:color w:val="000000"/>
                          <w:sz w:val="19"/>
                        </w:rPr>
                      </w:pPr>
                      <w:r>
                        <w:rPr>
                          <w:rFonts w:ascii="Trade Gothic;sans-serif" w:hAnsi="Trade Gothic;sans-serif"/>
                          <w:b w:val="false"/>
                          <w:color w:val="000000"/>
                          <w:sz w:val="19"/>
                        </w:rPr>
                        <w:t>3</w:t>
                      </w:r>
                    </w:p>
                  </w:txbxContent>
                </v:textbox>
                <w10:wrap type="none"/>
              </v:rect>
            </w:pict>
          </mc:Fallback>
        </mc:AlternateContent>
      </w:r>
    </w:p>
    <w:p>
      <w:pPr>
        <w:pStyle w:val="TextBody"/>
        <w:bidi w:val="0"/>
        <w:spacing w:lineRule="auto" w:line="288" w:before="0" w:after="180"/>
        <w:jc w:val="center"/>
        <w:rPr>
          <w:rFonts w:ascii="Trade Gothic;sans-serif" w:hAnsi="Trade Gothic;sans-serif"/>
          <w:b/>
          <w:color w:val="000000"/>
          <w:sz w:val="20"/>
        </w:rPr>
      </w:pPr>
      <w:r>
        <w:rPr>
          <w:rFonts w:ascii="Trade Gothic;sans-serif" w:hAnsi="Trade Gothic;sans-serif"/>
          <w:b/>
          <w:color w:val="000000"/>
          <w:sz w:val="20"/>
        </w:rPr>
        <w:t>DESCRIPTION OF PRIVATE PLACEMENT</w:t>
      </w:r>
    </w:p>
    <w:p>
      <w:pPr>
        <w:pStyle w:val="TextBody"/>
        <w:bidi w:val="0"/>
        <w:spacing w:lineRule="auto" w:line="288" w:before="0" w:after="240"/>
        <w:jc w:val="left"/>
        <w:rPr>
          <w:rFonts w:ascii="Trade Gothic;sans-serif" w:hAnsi="Trade Gothic;sans-serif"/>
          <w:b w:val="false"/>
          <w:color w:val="000000"/>
          <w:sz w:val="20"/>
        </w:rPr>
      </w:pPr>
      <w:r>
        <w:rPr>
          <w:rFonts w:ascii="Trade Gothic;sans-serif" w:hAnsi="Trade Gothic;sans-serif"/>
          <w:b w:val="false"/>
          <w:color w:val="000000"/>
          <w:sz w:val="20"/>
        </w:rPr>
        <w:t>In May 2026, we closed a private placement, or the Private Placement, pursuant to a securities purchase agreement, or the Purchase Agreement, dated April 29, 2026, among us and certain entities affiliated with Montanova Capital (f/k/a Suvretta Capital), each, a PIPE Investor or collectively, the PIPE Investors, in which the Company sold to the PIPE Investors the Pre-Funded Warrants to purchase an aggregate of 300,000 shares of common stock, at an offering price of $99.99999 per Pre-Funded Warrant. The gross proceeds of the Private Placement were approximately $30.0 million, before deducting placement agent fees and other expenses.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righ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140335"/>
                <wp:effectExtent l="0" t="0" r="0" b="0"/>
                <wp:wrapNone/>
                <wp:docPr id="8" name="Frame7"/>
                <a:graphic xmlns:a="http://schemas.openxmlformats.org/drawingml/2006/main">
                  <a:graphicData uri="http://schemas.microsoft.com/office/word/2010/wordprocessingShape">
                    <wps:wsp>
                      <wps:cNvSpPr txBox="1"/>
                      <wps:spPr>
                        <a:xfrm>
                          <a:off x="0" y="0"/>
                          <a:ext cx="6480175" cy="140335"/>
                        </a:xfrm>
                        <a:prstGeom prst="rect"/>
                        <a:solidFill>
                          <a:srgbClr val="FFFFFF"/>
                        </a:solidFill>
                      </wps:spPr>
                      <wps:txbx>
                        <w:txbxContent>
                          <w:p>
                            <w:pPr>
                              <w:pStyle w:val="TextBody"/>
                              <w:bidi w:val="0"/>
                              <w:spacing w:lineRule="auto" w:line="288" w:before="0" w:after="180"/>
                              <w:jc w:val="center"/>
                              <w:rPr>
                                <w:rFonts w:ascii="Trade Gothic;sans-serif" w:hAnsi="Trade Gothic;sans-serif"/>
                                <w:b w:val="false"/>
                                <w:color w:val="000000"/>
                                <w:sz w:val="19"/>
                              </w:rPr>
                            </w:pPr>
                            <w:r>
                              <w:rPr>
                                <w:rFonts w:ascii="Trade Gothic;sans-serif" w:hAnsi="Trade Gothic;sans-serif"/>
                                <w:b w:val="false"/>
                                <w:color w:val="000000"/>
                                <w:sz w:val="19"/>
                              </w:rPr>
                              <w:t>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0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180"/>
                        <w:jc w:val="center"/>
                        <w:rPr>
                          <w:rFonts w:ascii="Trade Gothic;sans-serif" w:hAnsi="Trade Gothic;sans-serif"/>
                          <w:b w:val="false"/>
                          <w:color w:val="000000"/>
                          <w:sz w:val="19"/>
                        </w:rPr>
                      </w:pPr>
                      <w:r>
                        <w:rPr>
                          <w:rFonts w:ascii="Trade Gothic;sans-serif" w:hAnsi="Trade Gothic;sans-serif"/>
                          <w:b w:val="false"/>
                          <w:color w:val="000000"/>
                          <w:sz w:val="19"/>
                        </w:rPr>
                        <w:t>4</w:t>
                      </w:r>
                    </w:p>
                  </w:txbxContent>
                </v:textbox>
                <w10:wrap type="none"/>
              </v:rect>
            </w:pict>
          </mc:Fallback>
        </mc:AlternateContent>
      </w:r>
    </w:p>
    <w:p>
      <w:pPr>
        <w:pStyle w:val="TextBody"/>
        <w:bidi w:val="0"/>
        <w:spacing w:lineRule="auto" w:line="288" w:before="0" w:after="360"/>
        <w:jc w:val="center"/>
        <w:rPr>
          <w:rFonts w:ascii="Trade Gothic;sans-serif" w:hAnsi="Trade Gothic;sans-serif"/>
          <w:b/>
          <w:color w:val="000000"/>
          <w:sz w:val="20"/>
        </w:rPr>
      </w:pPr>
      <w:r>
        <w:rPr>
          <w:rFonts w:ascii="Trade Gothic;sans-serif" w:hAnsi="Trade Gothic;sans-serif"/>
          <w:b/>
          <w:color w:val="000000"/>
          <w:sz w:val="20"/>
        </w:rPr>
        <w:t xml:space="preserve">SPECIAL NOTE REGARDING FORWARD-LOOKING STATEMENTS </w:t>
      </w:r>
    </w:p>
    <w:p>
      <w:pPr>
        <w:pStyle w:val="TextBody"/>
        <w:bidi w:val="0"/>
        <w:spacing w:lineRule="auto" w:line="288" w:before="0" w:after="240"/>
        <w:jc w:val="left"/>
        <w:rPr>
          <w:rFonts w:ascii="Trade Gothic;sans-serif" w:hAnsi="Trade Gothic;sans-serif"/>
          <w:b w:val="false"/>
          <w:color w:val="000000"/>
          <w:sz w:val="20"/>
        </w:rPr>
      </w:pPr>
      <w:r>
        <w:rPr>
          <w:rFonts w:ascii="Trade Gothic;sans-serif" w:hAnsi="Trade Gothic;sans-serif"/>
          <w:b w:val="false"/>
          <w:color w:val="000000"/>
          <w:sz w:val="20"/>
        </w:rPr>
        <w:t xml:space="preserve">This prospectus and the documents incorporated by reference herein contain forward-looking statements that are based on management’s beliefs and assumptions and on information currently available to management. All statements other than statements of historical facts contained in this prospectus are forward-looking statements. In some cases, you can identify forward-looking statements by terms such as “may,” “will,” “should,” “expect,” “plan,” “anticipate,” “could,” “intend,” “target,” “project,” “contemplate,” “believe,” “estimate,” “predict,” “potential” or “continue” or the negative of these terms or other similar expressions, although not all forward-looking statements contain these words. Forward-looking statements include, but are not limited to, statements concerning: </w:t>
      </w:r>
    </w:p>
    <w:p>
      <w:pPr>
        <w:pStyle w:val="TextBody"/>
        <w:bidi w:val="0"/>
        <w:spacing w:lineRule="auto" w:line="288" w:before="0" w:after="40"/>
        <w:ind w:left="0" w:right="0" w:hanging="360"/>
        <w:jc w:val="left"/>
        <w:rPr/>
      </w:pPr>
      <w:r>
        <w:rPr>
          <w:color w:val="000000"/>
        </w:rPr>
        <w:t>■</w:t>
      </w:r>
      <w:r>
        <w:rPr>
          <w:rFonts w:ascii="Trade Gothic;sans-serif" w:hAnsi="Trade Gothic;sans-serif"/>
          <w:b w:val="false"/>
          <w:color w:val="000000"/>
          <w:sz w:val="20"/>
        </w:rPr>
        <w:t>the initiation, timing, enrollment, progress, results, and cost of our research and development programs, and our current and future preclinical and clinical studies, including statements regarding the timing of initiation or completion of our clinical trials for VDPHL01 and our other product candidates, and related preparatory work, and the period during which the results of the trials will become available;</w:t>
      </w:r>
    </w:p>
    <w:p>
      <w:pPr>
        <w:pStyle w:val="TextBody"/>
        <w:bidi w:val="0"/>
        <w:spacing w:lineRule="auto" w:line="288" w:before="0" w:after="40"/>
        <w:ind w:left="0" w:right="0" w:hanging="360"/>
        <w:jc w:val="left"/>
        <w:rPr/>
      </w:pPr>
      <w:r>
        <w:rPr>
          <w:color w:val="000000"/>
        </w:rPr>
        <w:t>■</w:t>
      </w:r>
      <w:r>
        <w:rPr>
          <w:rFonts w:ascii="Trade Gothic;sans-serif" w:hAnsi="Trade Gothic;sans-serif"/>
          <w:b w:val="false"/>
          <w:color w:val="000000"/>
          <w:sz w:val="20"/>
        </w:rPr>
        <w:t>our regulatory strategy and the timing of our planned NDA submission for VDPHL01;</w:t>
      </w:r>
    </w:p>
    <w:p>
      <w:pPr>
        <w:pStyle w:val="TextBody"/>
        <w:bidi w:val="0"/>
        <w:spacing w:lineRule="auto" w:line="288" w:before="0" w:after="40"/>
        <w:ind w:left="0" w:right="0" w:hanging="360"/>
        <w:jc w:val="left"/>
        <w:rPr/>
      </w:pPr>
      <w:r>
        <w:rPr>
          <w:color w:val="000000"/>
        </w:rPr>
        <w:t>■</w:t>
      </w:r>
      <w:r>
        <w:rPr>
          <w:rFonts w:ascii="Trade Gothic;sans-serif" w:hAnsi="Trade Gothic;sans-serif"/>
          <w:b w:val="false"/>
          <w:color w:val="000000"/>
          <w:sz w:val="20"/>
        </w:rPr>
        <w:t>the success, cost and timing of our clinical development of VDPHL01 and our other product candidates;</w:t>
      </w:r>
    </w:p>
    <w:p>
      <w:pPr>
        <w:pStyle w:val="TextBody"/>
        <w:bidi w:val="0"/>
        <w:spacing w:lineRule="auto" w:line="288" w:before="0" w:after="40"/>
        <w:ind w:left="0" w:right="0" w:hanging="360"/>
        <w:jc w:val="left"/>
        <w:rPr/>
      </w:pPr>
      <w:r>
        <w:rPr>
          <w:color w:val="000000"/>
        </w:rPr>
        <w:t>■</w:t>
      </w:r>
      <w:r>
        <w:rPr>
          <w:rFonts w:ascii="Trade Gothic;sans-serif" w:hAnsi="Trade Gothic;sans-serif"/>
          <w:b w:val="false"/>
          <w:color w:val="000000"/>
          <w:sz w:val="20"/>
        </w:rPr>
        <w:t xml:space="preserve">our ability to initiate, recruit and enroll patients in and conduct our clinical trials at the pace that we project; </w:t>
      </w:r>
    </w:p>
    <w:p>
      <w:pPr>
        <w:pStyle w:val="TextBody"/>
        <w:bidi w:val="0"/>
        <w:spacing w:lineRule="auto" w:line="288" w:before="0" w:after="40"/>
        <w:ind w:left="0" w:right="0" w:hanging="360"/>
        <w:jc w:val="left"/>
        <w:rPr/>
      </w:pPr>
      <w:r>
        <w:rPr>
          <w:color w:val="000000"/>
        </w:rPr>
        <w:t>■</w:t>
      </w:r>
      <w:r>
        <w:rPr>
          <w:rFonts w:ascii="Trade Gothic;sans-serif" w:hAnsi="Trade Gothic;sans-serif"/>
          <w:b w:val="false"/>
          <w:color w:val="000000"/>
          <w:sz w:val="20"/>
        </w:rPr>
        <w:t xml:space="preserve">the timing of and our ability to obtain and maintain regulatory approval of our product candidates, and any related restrictions, limitations or warnings in the label of any of our product candidates, if approved; </w:t>
      </w:r>
    </w:p>
    <w:p>
      <w:pPr>
        <w:pStyle w:val="TextBody"/>
        <w:bidi w:val="0"/>
        <w:spacing w:lineRule="auto" w:line="288" w:before="0" w:after="40"/>
        <w:ind w:left="0" w:right="0" w:hanging="360"/>
        <w:jc w:val="left"/>
        <w:rPr/>
      </w:pPr>
      <w:r>
        <w:rPr>
          <w:color w:val="000000"/>
        </w:rPr>
        <w:t>■</w:t>
      </w:r>
      <w:r>
        <w:rPr>
          <w:rFonts w:ascii="Trade Gothic;sans-serif" w:hAnsi="Trade Gothic;sans-serif"/>
          <w:b w:val="false"/>
          <w:color w:val="000000"/>
          <w:sz w:val="20"/>
        </w:rPr>
        <w:t xml:space="preserve">our ability to compete with companies currently selling, marketing or engaged in the development of treatments for diseases that our product candidates are designed to target, including PHL; </w:t>
      </w:r>
    </w:p>
    <w:p>
      <w:pPr>
        <w:pStyle w:val="TextBody"/>
        <w:bidi w:val="0"/>
        <w:spacing w:lineRule="auto" w:line="288" w:before="0" w:after="40"/>
        <w:ind w:left="0" w:right="0" w:hanging="360"/>
        <w:jc w:val="left"/>
        <w:rPr/>
      </w:pPr>
      <w:r>
        <w:rPr>
          <w:color w:val="000000"/>
        </w:rPr>
        <w:t>■</w:t>
      </w:r>
      <w:r>
        <w:rPr>
          <w:rFonts w:ascii="Trade Gothic;sans-serif" w:hAnsi="Trade Gothic;sans-serif"/>
          <w:b w:val="false"/>
          <w:color w:val="000000"/>
          <w:sz w:val="20"/>
        </w:rPr>
        <w:t xml:space="preserve">our reliance on third parties to conduct our clinical trials; </w:t>
      </w:r>
    </w:p>
    <w:p>
      <w:pPr>
        <w:pStyle w:val="TextBody"/>
        <w:bidi w:val="0"/>
        <w:spacing w:lineRule="auto" w:line="288" w:before="0" w:after="40"/>
        <w:ind w:left="0" w:right="0" w:hanging="360"/>
        <w:jc w:val="left"/>
        <w:rPr/>
      </w:pPr>
      <w:r>
        <w:rPr>
          <w:color w:val="000000"/>
        </w:rPr>
        <w:t>■</w:t>
      </w:r>
      <w:r>
        <w:rPr>
          <w:rFonts w:ascii="Trade Gothic;sans-serif" w:hAnsi="Trade Gothic;sans-serif"/>
          <w:b w:val="false"/>
          <w:color w:val="000000"/>
          <w:sz w:val="20"/>
        </w:rPr>
        <w:t xml:space="preserve">our reliance on third parties to manufacture drug substance for use in our clinical trials; </w:t>
      </w:r>
    </w:p>
    <w:p>
      <w:pPr>
        <w:pStyle w:val="TextBody"/>
        <w:bidi w:val="0"/>
        <w:spacing w:lineRule="auto" w:line="288" w:before="0" w:after="40"/>
        <w:ind w:left="0" w:right="0" w:hanging="360"/>
        <w:jc w:val="left"/>
        <w:rPr/>
      </w:pPr>
      <w:r>
        <w:rPr>
          <w:color w:val="000000"/>
        </w:rPr>
        <w:t>■</w:t>
      </w:r>
      <w:r>
        <w:rPr>
          <w:rFonts w:ascii="Trade Gothic;sans-serif" w:hAnsi="Trade Gothic;sans-serif"/>
          <w:b w:val="false"/>
          <w:color w:val="000000"/>
          <w:sz w:val="20"/>
        </w:rPr>
        <w:t xml:space="preserve">our estimates regarding the size and growth potential of the commercial opportunity for VDPHL01 and our other current product candidates or other product candidates we may identify and pursue, and our ability to serve those markets; </w:t>
      </w:r>
    </w:p>
    <w:p>
      <w:pPr>
        <w:pStyle w:val="TextBody"/>
        <w:bidi w:val="0"/>
        <w:spacing w:lineRule="auto" w:line="288" w:before="0" w:after="40"/>
        <w:ind w:left="0" w:right="0" w:hanging="360"/>
        <w:jc w:val="left"/>
        <w:rPr/>
      </w:pPr>
      <w:r>
        <w:rPr>
          <w:color w:val="000000"/>
        </w:rPr>
        <w:t>■</w:t>
      </w:r>
      <w:r>
        <w:rPr>
          <w:rFonts w:ascii="Trade Gothic;sans-serif" w:hAnsi="Trade Gothic;sans-serif"/>
          <w:b w:val="false"/>
          <w:color w:val="000000"/>
          <w:sz w:val="20"/>
        </w:rPr>
        <w:t xml:space="preserve">our ability to expand our pipeline through collaborations, partnerships and other transactions with third parties; </w:t>
      </w:r>
    </w:p>
    <w:p>
      <w:pPr>
        <w:pStyle w:val="TextBody"/>
        <w:bidi w:val="0"/>
        <w:spacing w:lineRule="auto" w:line="288" w:before="0" w:after="40"/>
        <w:ind w:left="0" w:right="0" w:hanging="360"/>
        <w:jc w:val="left"/>
        <w:rPr/>
      </w:pPr>
      <w:r>
        <w:rPr>
          <w:color w:val="000000"/>
        </w:rPr>
        <w:t>■</w:t>
      </w:r>
      <w:r>
        <w:rPr>
          <w:rFonts w:ascii="Trade Gothic;sans-serif" w:hAnsi="Trade Gothic;sans-serif"/>
          <w:b w:val="false"/>
          <w:color w:val="000000"/>
          <w:sz w:val="20"/>
        </w:rPr>
        <w:t xml:space="preserve">our ability to identify and advance through clinical development any additional product candidates; </w:t>
      </w:r>
    </w:p>
    <w:p>
      <w:pPr>
        <w:pStyle w:val="TextBody"/>
        <w:bidi w:val="0"/>
        <w:spacing w:lineRule="auto" w:line="288" w:before="0" w:after="40"/>
        <w:ind w:left="0" w:right="0" w:hanging="360"/>
        <w:jc w:val="left"/>
        <w:rPr/>
      </w:pPr>
      <w:r>
        <w:rPr>
          <w:color w:val="000000"/>
        </w:rPr>
        <w:t>■</w:t>
      </w:r>
      <w:r>
        <w:rPr>
          <w:rFonts w:ascii="Trade Gothic;sans-serif" w:hAnsi="Trade Gothic;sans-serif"/>
          <w:b w:val="false"/>
          <w:color w:val="000000"/>
          <w:sz w:val="20"/>
        </w:rPr>
        <w:t xml:space="preserve">the commercialization of VDPHL01 and our other current product candidates and any other product candidates we may identify and pursue, if approved, including our ability to successfully build commercial infrastructure or enter into collaborations with third parties to market our current product candidates and any other product candidates we may identify and pursue; </w:t>
      </w:r>
    </w:p>
    <w:p>
      <w:pPr>
        <w:pStyle w:val="TextBody"/>
        <w:bidi w:val="0"/>
        <w:spacing w:lineRule="auto" w:line="288" w:before="0" w:after="40"/>
        <w:ind w:left="0" w:right="0" w:hanging="360"/>
        <w:jc w:val="left"/>
        <w:rPr/>
      </w:pPr>
      <w:r>
        <w:rPr>
          <w:color w:val="000000"/>
        </w:rPr>
        <w:t>■</w:t>
      </w:r>
      <w:r>
        <w:rPr>
          <w:rFonts w:ascii="Trade Gothic;sans-serif" w:hAnsi="Trade Gothic;sans-serif"/>
          <w:b w:val="false"/>
          <w:color w:val="000000"/>
          <w:sz w:val="20"/>
        </w:rPr>
        <w:t>the effectiveness of physician outreach and education, direct-to-consumer advertising, telehealth engagement and social media campaigns on physician and patient adoption rates;</w:t>
      </w:r>
    </w:p>
    <w:p>
      <w:pPr>
        <w:pStyle w:val="TextBody"/>
        <w:bidi w:val="0"/>
        <w:spacing w:lineRule="auto" w:line="288" w:before="0" w:after="40"/>
        <w:ind w:left="0" w:right="0" w:hanging="360"/>
        <w:jc w:val="left"/>
        <w:rPr/>
      </w:pPr>
      <w:r>
        <w:rPr>
          <w:color w:val="000000"/>
        </w:rPr>
        <w:t>■</w:t>
      </w:r>
      <w:r>
        <w:rPr>
          <w:rFonts w:ascii="Trade Gothic;sans-serif" w:hAnsi="Trade Gothic;sans-serif"/>
          <w:b w:val="false"/>
          <w:color w:val="000000"/>
          <w:sz w:val="20"/>
        </w:rPr>
        <w:t xml:space="preserve">our ability to develop and commercialize products that are considered by physicians, patients and payors as medically and/or financially differentiated as compared to competitive products; </w:t>
      </w:r>
    </w:p>
    <w:p>
      <w:pPr>
        <w:pStyle w:val="TextBody"/>
        <w:bidi w:val="0"/>
        <w:spacing w:lineRule="auto" w:line="288" w:before="0" w:after="40"/>
        <w:ind w:left="0" w:right="0" w:hanging="360"/>
        <w:jc w:val="left"/>
        <w:rPr/>
      </w:pPr>
      <w:r>
        <w:rPr>
          <w:color w:val="000000"/>
        </w:rPr>
        <w:t>■</w:t>
      </w:r>
      <w:r>
        <w:rPr>
          <w:rFonts w:ascii="Trade Gothic;sans-serif" w:hAnsi="Trade Gothic;sans-serif"/>
          <w:b w:val="false"/>
          <w:color w:val="000000"/>
          <w:sz w:val="20"/>
        </w:rPr>
        <w:t xml:space="preserve">our ability to retain and recruit key personnel; </w:t>
      </w:r>
    </w:p>
    <w:p>
      <w:pPr>
        <w:pStyle w:val="TextBody"/>
        <w:bidi w:val="0"/>
        <w:spacing w:lineRule="auto" w:line="288" w:before="0" w:after="40"/>
        <w:ind w:left="0" w:right="0" w:hanging="360"/>
        <w:jc w:val="left"/>
        <w:rPr/>
      </w:pPr>
      <w:r>
        <w:rPr>
          <w:color w:val="000000"/>
        </w:rPr>
        <w:t>■</w:t>
      </w:r>
      <w:r>
        <w:rPr>
          <w:rFonts w:ascii="Trade Gothic;sans-serif" w:hAnsi="Trade Gothic;sans-serif"/>
          <w:b w:val="false"/>
          <w:color w:val="000000"/>
          <w:sz w:val="20"/>
        </w:rPr>
        <w:t xml:space="preserve">our ability to obtain, maintain and successfully enforce adequate intellectual property rights; </w:t>
      </w:r>
    </w:p>
    <w:p>
      <w:pPr>
        <w:pStyle w:val="TextBody"/>
        <w:bidi w:val="0"/>
        <w:spacing w:lineRule="auto" w:line="288" w:before="0" w:after="40"/>
        <w:ind w:left="0" w:right="0" w:hanging="360"/>
        <w:jc w:val="left"/>
        <w:rPr/>
      </w:pPr>
      <w:r>
        <w:rPr>
          <w:color w:val="000000"/>
        </w:rPr>
        <w:t>■</w:t>
      </w:r>
      <w:r>
        <w:rPr>
          <w:rFonts w:ascii="Trade Gothic;sans-serif" w:hAnsi="Trade Gothic;sans-serif"/>
          <w:b w:val="false"/>
          <w:color w:val="000000"/>
          <w:sz w:val="20"/>
        </w:rPr>
        <w:t>our patent portfolio, including issued, allowed and pending applications, and plans for future applications;</w:t>
      </w:r>
    </w:p>
    <w:p>
      <w:pPr>
        <w:pStyle w:val="TextBody"/>
        <w:bidi w:val="0"/>
        <w:spacing w:lineRule="auto" w:line="288" w:before="0" w:after="40"/>
        <w:ind w:left="0" w:right="0" w:hanging="360"/>
        <w:jc w:val="left"/>
        <w:rPr/>
      </w:pPr>
      <w:r>
        <w:rPr>
          <w:color w:val="000000"/>
        </w:rPr>
        <w:t>■</w:t>
      </w:r>
      <w:r>
        <w:rPr>
          <w:rFonts w:ascii="Trade Gothic;sans-serif" w:hAnsi="Trade Gothic;sans-serif"/>
          <w:b w:val="false"/>
          <w:color w:val="000000"/>
          <w:sz w:val="20"/>
        </w:rPr>
        <w:t>our expectations about patient willingness to pay, the effect of macroeconomic conditions on discretionary spending and implications of limited or no third-party payor coverage and reimbursement on VDPHL01, if approved;</w:t>
      </w:r>
    </w:p>
    <w:p>
      <w:pPr>
        <w:pStyle w:val="TextBody"/>
        <w:bidi w:val="0"/>
        <w:spacing w:lineRule="auto" w:line="288" w:before="0" w:after="40"/>
        <w:ind w:left="0" w:right="0" w:hanging="360"/>
        <w:jc w:val="left"/>
        <w:rPr/>
      </w:pPr>
      <w:r>
        <w:rPr>
          <w:color w:val="000000"/>
        </w:rPr>
        <w:t>■</w:t>
      </w:r>
      <w:r>
        <w:rPr>
          <w:rFonts w:ascii="Trade Gothic;sans-serif" w:hAnsi="Trade Gothic;sans-serif"/>
          <w:b w:val="false"/>
          <w:color w:val="000000"/>
          <w:sz w:val="20"/>
        </w:rPr>
        <w:t xml:space="preserve">our estimates of our expenses, ongoing losses, capital requirements and our needs for or ability to obtain additional financing; </w:t>
      </w:r>
    </w:p>
    <w:p>
      <w:pPr>
        <w:pStyle w:val="TextBody"/>
        <w:bidi w:val="0"/>
        <w:spacing w:lineRule="auto" w:line="288" w:before="0" w:after="40"/>
        <w:ind w:left="0" w:right="0" w:hanging="360"/>
        <w:jc w:val="left"/>
        <w:rPr/>
      </w:pPr>
      <w:r>
        <w:rPr>
          <w:color w:val="000000"/>
        </w:rPr>
        <w:t>■</w:t>
      </w:r>
      <w:r>
        <w:rPr>
          <w:rFonts w:ascii="Trade Gothic;sans-serif" w:hAnsi="Trade Gothic;sans-serif"/>
          <w:b w:val="false"/>
          <w:color w:val="000000"/>
          <w:sz w:val="20"/>
        </w:rPr>
        <w:t>our expected uses of our existing cash, cash equivalents and marketable securities and the sufficiency of such capital resources to fund our future operating expenses and capital expenditure requirements;</w:t>
      </w:r>
    </w:p>
    <w:p>
      <w:pPr>
        <w:pStyle w:val="TextBody"/>
        <w:bidi w:val="0"/>
        <w:spacing w:lineRule="auto" w:line="288" w:before="0" w:after="40"/>
        <w:ind w:left="0" w:right="0" w:hanging="360"/>
        <w:jc w:val="left"/>
        <w:rPr/>
      </w:pPr>
      <w:r>
        <w:rPr>
          <w:color w:val="000000"/>
        </w:rPr>
        <w:t>■</w:t>
      </w:r>
      <w:r>
        <w:rPr>
          <w:rFonts w:ascii="Trade Gothic;sans-serif" w:hAnsi="Trade Gothic;sans-serif"/>
          <w:b w:val="false"/>
          <w:color w:val="000000"/>
          <w:sz w:val="20"/>
        </w:rPr>
        <w:t xml:space="preserve">our expectations regarding the time during which we will be an emerging growth company under the JOBS Act; </w:t>
      </w:r>
    </w:p>
    <w:p>
      <w:pPr>
        <w:pStyle w:val="TextBody"/>
        <w:bidi w:val="0"/>
        <w:spacing w:lineRule="auto" w:line="288" w:before="0" w:after="40"/>
        <w:ind w:left="0" w:right="0" w:hanging="360"/>
        <w:jc w:val="left"/>
        <w:rPr/>
      </w:pPr>
      <w:r>
        <w:rPr>
          <w:color w:val="000000"/>
        </w:rPr>
        <w:t>■</w:t>
      </w:r>
      <w:r>
        <w:rPr>
          <w:rFonts w:ascii="Trade Gothic;sans-serif" w:hAnsi="Trade Gothic;sans-serif"/>
          <w:b w:val="false"/>
          <w:color w:val="000000"/>
          <w:sz w:val="20"/>
        </w:rPr>
        <w:t xml:space="preserve">our financial performance; </w:t>
      </w:r>
    </w:p>
    <w:p>
      <w:pPr>
        <w:pStyle w:val="TextBody"/>
        <w:bidi w:val="0"/>
        <w:spacing w:lineRule="auto" w:line="288" w:before="0" w:after="40"/>
        <w:ind w:left="0" w:right="0" w:hanging="360"/>
        <w:jc w:val="left"/>
        <w:rPr/>
      </w:pPr>
      <w:r>
        <w:rPr>
          <w:color w:val="000000"/>
        </w:rPr>
        <w:t>■</w:t>
      </w:r>
      <w:r>
        <w:rPr>
          <w:rFonts w:ascii="Trade Gothic;sans-serif" w:hAnsi="Trade Gothic;sans-serif"/>
          <w:b w:val="false"/>
          <w:color w:val="000000"/>
          <w:sz w:val="20"/>
        </w:rPr>
        <w:t xml:space="preserve">developments and projections relating to our competitors or our industry; and </w:t>
      </w:r>
    </w:p>
    <w:p>
      <w:pPr>
        <w:pStyle w:val="TextBody"/>
        <w:bidi w:val="0"/>
        <w:spacing w:lineRule="auto" w:line="288" w:before="0" w:after="240"/>
        <w:ind w:left="0" w:right="0" w:hanging="360"/>
        <w:jc w:val="left"/>
        <w:rPr/>
      </w:pPr>
      <w:r>
        <w:rPr>
          <w:color w:val="000000"/>
        </w:rPr>
        <w:t>■</w:t>
      </w:r>
      <w:r>
        <w:rPr>
          <w:rFonts w:ascii="Trade Gothic;sans-serif" w:hAnsi="Trade Gothic;sans-serif"/>
          <w:b w:val="false"/>
          <w:color w:val="000000"/>
          <w:sz w:val="20"/>
        </w:rPr>
        <w:t>other risks and uncertainties, including those listed under the section titled “Risk Factors.”</w:t>
      </w:r>
    </w:p>
    <w:p>
      <w:pPr>
        <w:pStyle w:val="TextBody"/>
        <w:bidi w:val="0"/>
        <w:spacing w:before="0" w:after="0"/>
        <w:jc w:val="right"/>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140335"/>
                <wp:effectExtent l="0" t="0" r="0" b="0"/>
                <wp:wrapNone/>
                <wp:docPr id="9" name="Frame8"/>
                <a:graphic xmlns:a="http://schemas.openxmlformats.org/drawingml/2006/main">
                  <a:graphicData uri="http://schemas.microsoft.com/office/word/2010/wordprocessingShape">
                    <wps:wsp>
                      <wps:cNvSpPr txBox="1"/>
                      <wps:spPr>
                        <a:xfrm>
                          <a:off x="0" y="0"/>
                          <a:ext cx="6480175" cy="140335"/>
                        </a:xfrm>
                        <a:prstGeom prst="rect"/>
                        <a:solidFill>
                          <a:srgbClr val="FFFFFF"/>
                        </a:solidFill>
                      </wps:spPr>
                      <wps:txbx>
                        <w:txbxContent>
                          <w:p>
                            <w:pPr>
                              <w:pStyle w:val="TextBody"/>
                              <w:bidi w:val="0"/>
                              <w:spacing w:lineRule="auto" w:line="288" w:before="0" w:after="180"/>
                              <w:jc w:val="center"/>
                              <w:rPr>
                                <w:rFonts w:ascii="Trade Gothic;sans-serif" w:hAnsi="Trade Gothic;sans-serif"/>
                                <w:b w:val="false"/>
                                <w:color w:val="000000"/>
                                <w:sz w:val="19"/>
                              </w:rPr>
                            </w:pPr>
                            <w:r>
                              <w:rPr>
                                <w:rFonts w:ascii="Trade Gothic;sans-serif" w:hAnsi="Trade Gothic;sans-serif"/>
                                <w:b w:val="false"/>
                                <w:color w:val="000000"/>
                                <w:sz w:val="19"/>
                              </w:rPr>
                              <w:t>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0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180"/>
                        <w:jc w:val="center"/>
                        <w:rPr>
                          <w:rFonts w:ascii="Trade Gothic;sans-serif" w:hAnsi="Trade Gothic;sans-serif"/>
                          <w:b w:val="false"/>
                          <w:color w:val="000000"/>
                          <w:sz w:val="19"/>
                        </w:rPr>
                      </w:pPr>
                      <w:r>
                        <w:rPr>
                          <w:rFonts w:ascii="Trade Gothic;sans-serif" w:hAnsi="Trade Gothic;sans-serif"/>
                          <w:b w:val="false"/>
                          <w:color w:val="000000"/>
                          <w:sz w:val="19"/>
                        </w:rPr>
                        <w:t>5</w:t>
                      </w:r>
                    </w:p>
                  </w:txbxContent>
                </v:textbox>
                <w10:wrap type="none"/>
              </v:rect>
            </w:pict>
          </mc:Fallback>
        </mc:AlternateContent>
      </w:r>
    </w:p>
    <w:p>
      <w:pPr>
        <w:pStyle w:val="TextBody"/>
        <w:bidi w:val="0"/>
        <w:spacing w:lineRule="auto" w:line="288" w:before="0" w:after="240"/>
        <w:jc w:val="left"/>
        <w:rPr/>
      </w:pPr>
      <w:r>
        <w:rPr>
          <w:rFonts w:ascii="Trade Gothic;sans-serif" w:hAnsi="Trade Gothic;sans-serif"/>
          <w:b w:val="false"/>
          <w:color w:val="000000"/>
          <w:sz w:val="20"/>
        </w:rPr>
        <w:t>The forward-looking statements in this prospectus or in the documents incorporated by reference herein are only predictions and are based largely on our current expectations and projections about future events and financial trends that we believe may affect our business, financial condition and results of operations. These forward-looking statements speak only as of the dates of each document and are subject to a number of known and unknown risks, uncertainties and assumptions, including those described under the sections in this prospectus titled “</w:t>
      </w:r>
      <w:hyperlink w:anchor="i84c570089d0c41b7a6e7b01f182eda30_19">
        <w:r>
          <w:rPr>
            <w:rStyle w:val="InternetLink"/>
            <w:rFonts w:ascii="Trade Gothic;sans-serif" w:hAnsi="Trade Gothic;sans-serif"/>
            <w:b w:val="false"/>
            <w:color w:val="0000FF"/>
            <w:sz w:val="20"/>
            <w:u w:val="single"/>
          </w:rPr>
          <w:t>Risk Factors</w:t>
        </w:r>
      </w:hyperlink>
      <w:r>
        <w:rPr>
          <w:color w:val="000000"/>
        </w:rPr>
        <w:t xml:space="preserve">” </w:t>
      </w:r>
      <w:r>
        <w:rPr>
          <w:rFonts w:ascii="Trade Gothic;sans-serif" w:hAnsi="Trade Gothic;sans-serif"/>
          <w:b w:val="false"/>
          <w:color w:val="000000"/>
          <w:sz w:val="20"/>
        </w:rPr>
        <w:t>and the sections titled “</w:t>
      </w:r>
      <w:r>
        <w:fldChar w:fldCharType="begin"/>
      </w:r>
      <w:r>
        <w:rPr>
          <w:rStyle w:val="InternetLink"/>
          <w:sz w:val="20"/>
          <w:u w:val="single"/>
          <w:b w:val="false"/>
          <w:rFonts w:ascii="Trade Gothic;sans-serif" w:hAnsi="Trade Gothic;sans-serif"/>
          <w:color w:val="0000FF"/>
        </w:rPr>
        <w:instrText xml:space="preserve"> HYPERLINK "https://www.sec.gov/ix?doc=/Archives/edgar/data/0001827635/000182763526000013/mane-20251231.htm" \l "i9ca5e2be7bb943599d309f8713a7177d_13"</w:instrText>
      </w:r>
      <w:r>
        <w:rPr>
          <w:rStyle w:val="InternetLink"/>
          <w:sz w:val="20"/>
          <w:u w:val="single"/>
          <w:b w:val="false"/>
          <w:rFonts w:ascii="Trade Gothic;sans-serif" w:hAnsi="Trade Gothic;sans-serif"/>
          <w:color w:val="0000FF"/>
        </w:rPr>
        <w:fldChar w:fldCharType="separate"/>
      </w:r>
      <w:r>
        <w:rPr>
          <w:rStyle w:val="InternetLink"/>
          <w:rFonts w:ascii="Trade Gothic;sans-serif" w:hAnsi="Trade Gothic;sans-serif"/>
          <w:b w:val="false"/>
          <w:color w:val="0000FF"/>
          <w:sz w:val="20"/>
          <w:u w:val="single"/>
        </w:rPr>
        <w:t>Risk Factors</w:t>
      </w:r>
      <w:r>
        <w:rPr>
          <w:rStyle w:val="InternetLink"/>
          <w:sz w:val="20"/>
          <w:u w:val="single"/>
          <w:b w:val="false"/>
          <w:rFonts w:ascii="Trade Gothic;sans-serif" w:hAnsi="Trade Gothic;sans-serif"/>
          <w:color w:val="0000FF"/>
        </w:rPr>
        <w:fldChar w:fldCharType="end"/>
      </w:r>
      <w:r>
        <w:rPr>
          <w:rFonts w:ascii="Trade Gothic;sans-serif" w:hAnsi="Trade Gothic;sans-serif"/>
          <w:b w:val="false"/>
          <w:color w:val="000000"/>
          <w:sz w:val="20"/>
        </w:rPr>
        <w:t>,” “</w:t>
      </w:r>
      <w:r>
        <w:fldChar w:fldCharType="begin"/>
      </w:r>
      <w:r>
        <w:rPr>
          <w:rStyle w:val="InternetLink"/>
          <w:sz w:val="20"/>
          <w:u w:val="single"/>
          <w:b w:val="false"/>
          <w:rFonts w:ascii="Trade Gothic;sans-serif" w:hAnsi="Trade Gothic;sans-serif"/>
          <w:color w:val="0000FF"/>
        </w:rPr>
        <w:instrText xml:space="preserve"> HYPERLINK "https://www.sec.gov/ix?doc=/Archives/edgar/data/0001827635/000182763526000013/mane-20251231.htm" \l "i9ca5e2be7bb943599d309f8713a7177d_37"</w:instrText>
      </w:r>
      <w:r>
        <w:rPr>
          <w:rStyle w:val="InternetLink"/>
          <w:sz w:val="20"/>
          <w:u w:val="single"/>
          <w:b w:val="false"/>
          <w:rFonts w:ascii="Trade Gothic;sans-serif" w:hAnsi="Trade Gothic;sans-serif"/>
          <w:color w:val="0000FF"/>
        </w:rPr>
        <w:fldChar w:fldCharType="separate"/>
      </w:r>
      <w:r>
        <w:rPr>
          <w:rStyle w:val="InternetLink"/>
          <w:rFonts w:ascii="Trade Gothic;sans-serif" w:hAnsi="Trade Gothic;sans-serif"/>
          <w:b w:val="false"/>
          <w:color w:val="0000FF"/>
          <w:sz w:val="20"/>
          <w:u w:val="single"/>
        </w:rPr>
        <w:t>Management’s Discussion and Analysis of Financial Condition and Results of Operations</w:t>
      </w:r>
      <w:r>
        <w:rPr>
          <w:rStyle w:val="InternetLink"/>
          <w:sz w:val="20"/>
          <w:u w:val="single"/>
          <w:b w:val="false"/>
          <w:rFonts w:ascii="Trade Gothic;sans-serif" w:hAnsi="Trade Gothic;sans-serif"/>
          <w:color w:val="0000FF"/>
        </w:rPr>
        <w:fldChar w:fldCharType="end"/>
      </w:r>
      <w:r>
        <w:rPr>
          <w:color w:val="000000"/>
        </w:rPr>
        <w:t xml:space="preserve">” </w:t>
      </w:r>
      <w:r>
        <w:rPr>
          <w:rFonts w:ascii="Trade Gothic;sans-serif" w:hAnsi="Trade Gothic;sans-serif"/>
          <w:b w:val="false"/>
          <w:color w:val="000000"/>
          <w:sz w:val="20"/>
        </w:rPr>
        <w:t>and “</w:t>
      </w:r>
      <w:r>
        <w:fldChar w:fldCharType="begin"/>
      </w:r>
      <w:r>
        <w:rPr>
          <w:rStyle w:val="InternetLink"/>
          <w:sz w:val="20"/>
          <w:u w:val="single"/>
          <w:b w:val="false"/>
          <w:rFonts w:ascii="Trade Gothic;sans-serif" w:hAnsi="Trade Gothic;sans-serif"/>
          <w:color w:val="0000FF"/>
        </w:rPr>
        <w:instrText xml:space="preserve"> HYPERLINK "https://www.sec.gov/ix?doc=/Archives/edgar/data/0001827635/000182763526000013/mane-20251231.htm" \l "i9ca5e2be7bb943599d309f8713a7177d_10"</w:instrText>
      </w:r>
      <w:r>
        <w:rPr>
          <w:rStyle w:val="InternetLink"/>
          <w:sz w:val="20"/>
          <w:u w:val="single"/>
          <w:b w:val="false"/>
          <w:rFonts w:ascii="Trade Gothic;sans-serif" w:hAnsi="Trade Gothic;sans-serif"/>
          <w:color w:val="0000FF"/>
        </w:rPr>
        <w:fldChar w:fldCharType="separate"/>
      </w:r>
      <w:r>
        <w:rPr>
          <w:rStyle w:val="InternetLink"/>
          <w:rFonts w:ascii="Trade Gothic;sans-serif" w:hAnsi="Trade Gothic;sans-serif"/>
          <w:b w:val="false"/>
          <w:color w:val="0000FF"/>
          <w:sz w:val="20"/>
          <w:u w:val="single"/>
        </w:rPr>
        <w:t>Business</w:t>
      </w:r>
      <w:r>
        <w:rPr>
          <w:rStyle w:val="InternetLink"/>
          <w:sz w:val="20"/>
          <w:u w:val="single"/>
          <w:b w:val="false"/>
          <w:rFonts w:ascii="Trade Gothic;sans-serif" w:hAnsi="Trade Gothic;sans-serif"/>
          <w:color w:val="0000FF"/>
        </w:rPr>
        <w:fldChar w:fldCharType="end"/>
      </w:r>
      <w:r>
        <w:rPr>
          <w:color w:val="000000"/>
        </w:rPr>
        <w:t xml:space="preserve">” </w:t>
      </w:r>
      <w:r>
        <w:rPr>
          <w:rFonts w:ascii="Trade Gothic;sans-serif" w:hAnsi="Trade Gothic;sans-serif"/>
          <w:b w:val="false"/>
          <w:color w:val="000000"/>
          <w:sz w:val="20"/>
        </w:rPr>
        <w:t>in our Annual Report and “</w:t>
      </w:r>
      <w:hyperlink r:id="rId3">
        <w:r>
          <w:rPr>
            <w:rStyle w:val="InternetLink"/>
            <w:rFonts w:ascii="Trade Gothic;sans-serif" w:hAnsi="Trade Gothic;sans-serif"/>
            <w:b w:val="false"/>
            <w:color w:val="0000FF"/>
            <w:sz w:val="20"/>
            <w:u w:val="single"/>
          </w:rPr>
          <w:t>Risk Factors</w:t>
        </w:r>
      </w:hyperlink>
      <w:r>
        <w:rPr>
          <w:color w:val="000000"/>
        </w:rPr>
        <w:t xml:space="preserve">” </w:t>
      </w:r>
      <w:r>
        <w:rPr>
          <w:rFonts w:ascii="Trade Gothic;sans-serif" w:hAnsi="Trade Gothic;sans-serif"/>
          <w:b w:val="false"/>
          <w:color w:val="000000"/>
          <w:sz w:val="20"/>
        </w:rPr>
        <w:t>and “</w:t>
      </w:r>
      <w:hyperlink r:id="rId4">
        <w:r>
          <w:rPr>
            <w:rStyle w:val="InternetLink"/>
            <w:rFonts w:ascii="Trade Gothic;sans-serif" w:hAnsi="Trade Gothic;sans-serif"/>
            <w:b w:val="false"/>
            <w:color w:val="0000FF"/>
            <w:sz w:val="20"/>
            <w:u w:val="single"/>
          </w:rPr>
          <w:t>Management’s Discussion and Analysis of Financial Condition and Results of Operations</w:t>
        </w:r>
      </w:hyperlink>
      <w:r>
        <w:rPr>
          <w:color w:val="000000"/>
        </w:rPr>
        <w:t xml:space="preserve">” </w:t>
      </w:r>
      <w:r>
        <w:rPr>
          <w:rFonts w:ascii="Trade Gothic;sans-serif" w:hAnsi="Trade Gothic;sans-serif"/>
          <w:b w:val="false"/>
          <w:color w:val="000000"/>
          <w:sz w:val="20"/>
        </w:rPr>
        <w:t>in our Quarterly Reports on Form 10-Q, which are incorporated by reference herein, and elsewhere in this prospectus. In addition, statements that “we believe” and similar statements reflect our beliefs and opinions on the relevant subject. These statements are based upon information available to us as of the dates of each document and while we believe such information forms a reasonable basis for such statements, such information may be limited or incomplete, and our statements should not be read to indicate that we have conducted an exhaustive inquiry into, or review of, all potentially available relevant information. These statements are inherently uncertain, and you are cautioned not to unduly rely on these statements. Because forward-looking statements are inherently subject to risks and uncertainties, some of which cannot be predicted or quantified and some of which are beyond our control, you should not rely on these forward-looking statements as guarantees of future events. The events and circumstances reflected in our forward-looking statements may not be achieved or occur and actual future results, levels of activity, performance and events and circumstances could differ materially from those projected in the forward-looking statements. Moreover, we operate in an evolving environment. New risks and uncertainties may emerge from time to time, and management cannot predict all risks and uncertainties. Except as required by applicable law, we are not obligated to publicly update or revise any forward-looking statements contained herein, whether as a result of any new information, future events, changed circumstances or otherwise.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right"/>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140335"/>
                <wp:effectExtent l="0" t="0" r="0" b="0"/>
                <wp:wrapNone/>
                <wp:docPr id="10" name="Frame9"/>
                <a:graphic xmlns:a="http://schemas.openxmlformats.org/drawingml/2006/main">
                  <a:graphicData uri="http://schemas.microsoft.com/office/word/2010/wordprocessingShape">
                    <wps:wsp>
                      <wps:cNvSpPr txBox="1"/>
                      <wps:spPr>
                        <a:xfrm>
                          <a:off x="0" y="0"/>
                          <a:ext cx="6480175" cy="140335"/>
                        </a:xfrm>
                        <a:prstGeom prst="rect"/>
                        <a:solidFill>
                          <a:srgbClr val="FFFFFF"/>
                        </a:solidFill>
                      </wps:spPr>
                      <wps:txbx>
                        <w:txbxContent>
                          <w:p>
                            <w:pPr>
                              <w:pStyle w:val="TextBody"/>
                              <w:bidi w:val="0"/>
                              <w:spacing w:lineRule="auto" w:line="288" w:before="0" w:after="180"/>
                              <w:jc w:val="center"/>
                              <w:rPr>
                                <w:rFonts w:ascii="Trade Gothic;sans-serif" w:hAnsi="Trade Gothic;sans-serif"/>
                                <w:b w:val="false"/>
                                <w:color w:val="000000"/>
                                <w:sz w:val="19"/>
                              </w:rPr>
                            </w:pPr>
                            <w:r>
                              <w:rPr>
                                <w:rFonts w:ascii="Trade Gothic;sans-serif" w:hAnsi="Trade Gothic;sans-serif"/>
                                <w:b w:val="false"/>
                                <w:color w:val="000000"/>
                                <w:sz w:val="19"/>
                              </w:rPr>
                              <w:t>6</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0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180"/>
                        <w:jc w:val="center"/>
                        <w:rPr>
                          <w:rFonts w:ascii="Trade Gothic;sans-serif" w:hAnsi="Trade Gothic;sans-serif"/>
                          <w:b w:val="false"/>
                          <w:color w:val="000000"/>
                          <w:sz w:val="19"/>
                        </w:rPr>
                      </w:pPr>
                      <w:r>
                        <w:rPr>
                          <w:rFonts w:ascii="Trade Gothic;sans-serif" w:hAnsi="Trade Gothic;sans-serif"/>
                          <w:b w:val="false"/>
                          <w:color w:val="000000"/>
                          <w:sz w:val="19"/>
                        </w:rPr>
                        <w:t>6</w:t>
                      </w:r>
                    </w:p>
                  </w:txbxContent>
                </v:textbox>
                <w10:wrap type="none"/>
              </v:rect>
            </w:pict>
          </mc:Fallback>
        </mc:AlternateContent>
      </w:r>
    </w:p>
    <w:p>
      <w:pPr>
        <w:pStyle w:val="TextBody"/>
        <w:bidi w:val="0"/>
        <w:spacing w:lineRule="auto" w:line="288" w:before="0" w:after="360"/>
        <w:jc w:val="center"/>
        <w:rPr>
          <w:rFonts w:ascii="Trade Gothic;sans-serif" w:hAnsi="Trade Gothic;sans-serif"/>
          <w:b/>
          <w:color w:val="000000"/>
          <w:sz w:val="20"/>
        </w:rPr>
      </w:pPr>
      <w:r>
        <w:rPr>
          <w:rFonts w:ascii="Trade Gothic;sans-serif" w:hAnsi="Trade Gothic;sans-serif"/>
          <w:b/>
          <w:color w:val="000000"/>
          <w:sz w:val="20"/>
        </w:rPr>
        <w:t>USE OF PROCEEDS</w:t>
      </w:r>
    </w:p>
    <w:p>
      <w:pPr>
        <w:pStyle w:val="TextBody"/>
        <w:bidi w:val="0"/>
        <w:spacing w:lineRule="auto" w:line="288" w:before="0" w:after="240"/>
        <w:jc w:val="left"/>
        <w:rPr>
          <w:rFonts w:ascii="Trade Gothic;sans-serif" w:hAnsi="Trade Gothic;sans-serif"/>
          <w:b w:val="false"/>
          <w:color w:val="000000"/>
          <w:sz w:val="20"/>
        </w:rPr>
      </w:pPr>
      <w:r>
        <w:rPr>
          <w:rFonts w:ascii="Trade Gothic;sans-serif" w:hAnsi="Trade Gothic;sans-serif"/>
          <w:b w:val="false"/>
          <w:color w:val="000000"/>
          <w:sz w:val="20"/>
        </w:rPr>
        <w:t xml:space="preserve">All of the Resale Shares offered by the Selling Stockholders pursuant to this prospectus will be sold by the Selling Stockholders for their respective accounts. We will not receive any of the proceeds from these sales. </w:t>
      </w:r>
    </w:p>
    <w:p>
      <w:pPr>
        <w:pStyle w:val="TextBody"/>
        <w:bidi w:val="0"/>
        <w:spacing w:lineRule="auto" w:line="288" w:before="0" w:after="240"/>
        <w:jc w:val="left"/>
        <w:rPr>
          <w:rFonts w:ascii="Trade Gothic;sans-serif" w:hAnsi="Trade Gothic;sans-serif"/>
          <w:b w:val="false"/>
          <w:color w:val="000000"/>
          <w:sz w:val="20"/>
        </w:rPr>
      </w:pPr>
      <w:r>
        <w:rPr>
          <w:rFonts w:ascii="Trade Gothic;sans-serif" w:hAnsi="Trade Gothic;sans-serif"/>
          <w:b w:val="false"/>
          <w:color w:val="000000"/>
          <w:sz w:val="20"/>
        </w:rPr>
        <w:t>The Selling Stockholders will pay any underwriting fees, discounts, selling commissions, stock transfer taxes and certain legal expenses incurred by such Selling Stockholders in disposing of their Resale Shares, and we will bear the reasonable fees of one counsel for the Selling Stockholders, all other costs, fees and expenses incurred in effecting the registration of such securities covered by this prospectus, including, without limitation, all registration and filing fees, NYSE listing fees and fees and expenses of our counsel and our independent registered public accountants.</w:t>
      </w:r>
    </w:p>
    <w:p>
      <w:pPr>
        <w:pStyle w:val="TextBody"/>
        <w:bidi w:val="0"/>
        <w:spacing w:lineRule="auto" w:line="288" w:before="0" w:after="240"/>
        <w:jc w:val="left"/>
        <w:rPr>
          <w:rFonts w:ascii="Trade Gothic;sans-serif" w:hAnsi="Trade Gothic;sans-serif"/>
          <w:b w:val="false"/>
          <w:color w:val="000000"/>
          <w:sz w:val="20"/>
        </w:rPr>
      </w:pPr>
      <w:r>
        <w:rPr>
          <w:rFonts w:ascii="Trade Gothic;sans-serif" w:hAnsi="Trade Gothic;sans-serif"/>
          <w:b w:val="false"/>
          <w:color w:val="000000"/>
          <w:sz w:val="20"/>
        </w:rPr>
        <w:t>We will receive proceeds from the exercise of the Pre-Funded Warrants to the extent any are exercised for cash but not from the sale of the shares of common stock issuable upon such exercise. If any of the Pre-Funded Warrants are exercised on a net exercise cashless basis, we would not receive any cash payment from the applicable selling stockholder upon any such exercise. Unless otherwise disclosed in a prospectus supplement, we intend to use any net proceeds from the exercise of Pre-Funded Warrants to fund the general corporate purposes, which may include commercial launch activities, developing our commercialization infrastructure, expanding our manufacturing capabilities, manufacturing of our product candidates, funding research, clinical and process development, increasing our working capital, and acquisitions or investments in businesses, products or technologies that are complementary to our own and capital expenditures.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right"/>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140335"/>
                <wp:effectExtent l="0" t="0" r="0" b="0"/>
                <wp:wrapNone/>
                <wp:docPr id="11" name="Frame10"/>
                <a:graphic xmlns:a="http://schemas.openxmlformats.org/drawingml/2006/main">
                  <a:graphicData uri="http://schemas.microsoft.com/office/word/2010/wordprocessingShape">
                    <wps:wsp>
                      <wps:cNvSpPr txBox="1"/>
                      <wps:spPr>
                        <a:xfrm>
                          <a:off x="0" y="0"/>
                          <a:ext cx="6480175" cy="140335"/>
                        </a:xfrm>
                        <a:prstGeom prst="rect"/>
                        <a:solidFill>
                          <a:srgbClr val="FFFFFF"/>
                        </a:solidFill>
                      </wps:spPr>
                      <wps:txbx>
                        <w:txbxContent>
                          <w:p>
                            <w:pPr>
                              <w:pStyle w:val="TextBody"/>
                              <w:bidi w:val="0"/>
                              <w:spacing w:lineRule="auto" w:line="288" w:before="0" w:after="180"/>
                              <w:jc w:val="center"/>
                              <w:rPr>
                                <w:rFonts w:ascii="Trade Gothic;sans-serif" w:hAnsi="Trade Gothic;sans-serif"/>
                                <w:b w:val="false"/>
                                <w:color w:val="000000"/>
                                <w:sz w:val="19"/>
                              </w:rPr>
                            </w:pPr>
                            <w:r>
                              <w:rPr>
                                <w:rFonts w:ascii="Trade Gothic;sans-serif" w:hAnsi="Trade Gothic;sans-serif"/>
                                <w:b w:val="false"/>
                                <w:color w:val="000000"/>
                                <w:sz w:val="19"/>
                              </w:rPr>
                              <w:t>7</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0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180"/>
                        <w:jc w:val="center"/>
                        <w:rPr>
                          <w:rFonts w:ascii="Trade Gothic;sans-serif" w:hAnsi="Trade Gothic;sans-serif"/>
                          <w:b w:val="false"/>
                          <w:color w:val="000000"/>
                          <w:sz w:val="19"/>
                        </w:rPr>
                      </w:pPr>
                      <w:r>
                        <w:rPr>
                          <w:rFonts w:ascii="Trade Gothic;sans-serif" w:hAnsi="Trade Gothic;sans-serif"/>
                          <w:b w:val="false"/>
                          <w:color w:val="000000"/>
                          <w:sz w:val="19"/>
                        </w:rPr>
                        <w:t>7</w:t>
                      </w:r>
                    </w:p>
                  </w:txbxContent>
                </v:textbox>
                <w10:wrap type="none"/>
              </v:rect>
            </w:pict>
          </mc:Fallback>
        </mc:AlternateContent>
      </w:r>
    </w:p>
    <w:p>
      <w:pPr>
        <w:pStyle w:val="TextBody"/>
        <w:bidi w:val="0"/>
        <w:spacing w:lineRule="auto" w:line="288" w:before="0" w:after="360"/>
        <w:jc w:val="center"/>
        <w:rPr>
          <w:rFonts w:ascii="Trade Gothic;sans-serif" w:hAnsi="Trade Gothic;sans-serif"/>
          <w:b/>
          <w:color w:val="000000"/>
          <w:sz w:val="20"/>
        </w:rPr>
      </w:pPr>
      <w:r>
        <w:rPr>
          <w:rFonts w:ascii="Trade Gothic;sans-serif" w:hAnsi="Trade Gothic;sans-serif"/>
          <w:b/>
          <w:color w:val="000000"/>
          <w:sz w:val="20"/>
        </w:rPr>
        <w:t xml:space="preserve">DIVIDEND POLICY </w:t>
      </w:r>
    </w:p>
    <w:p>
      <w:pPr>
        <w:pStyle w:val="TextBody"/>
        <w:bidi w:val="0"/>
        <w:spacing w:lineRule="auto" w:line="288" w:before="0" w:after="240"/>
        <w:jc w:val="left"/>
        <w:rPr>
          <w:rFonts w:ascii="Trade Gothic;sans-serif" w:hAnsi="Trade Gothic;sans-serif"/>
          <w:b w:val="false"/>
          <w:color w:val="000000"/>
          <w:sz w:val="20"/>
        </w:rPr>
      </w:pPr>
      <w:r>
        <w:rPr>
          <w:rFonts w:ascii="Trade Gothic;sans-serif" w:hAnsi="Trade Gothic;sans-serif"/>
          <w:b w:val="false"/>
          <w:color w:val="000000"/>
          <w:sz w:val="20"/>
        </w:rPr>
        <w:t>We have never declared or paid any dividends on our capital stock. We intend to retain future earnings, if any, to finance the operation and expansion of our business and do not anticipate paying any cash dividends in the foreseeable future. Any future determination related to our dividend policy will be made at the discretion of our board of directors after considering our financial condition, results of operations, capital requirements, business prospects and other factors our board of directors deems relevant, and subject to the restrictions contained in any future financing instruments. Our ability to pay cash dividends on our capital stock in the future may also be limited by the terms of any preferred securities we may issue or agreements governing any indebtedness we may incur.</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right"/>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140335"/>
                <wp:effectExtent l="0" t="0" r="0" b="0"/>
                <wp:wrapNone/>
                <wp:docPr id="12" name="Frame11"/>
                <a:graphic xmlns:a="http://schemas.openxmlformats.org/drawingml/2006/main">
                  <a:graphicData uri="http://schemas.microsoft.com/office/word/2010/wordprocessingShape">
                    <wps:wsp>
                      <wps:cNvSpPr txBox="1"/>
                      <wps:spPr>
                        <a:xfrm>
                          <a:off x="0" y="0"/>
                          <a:ext cx="6480175" cy="140335"/>
                        </a:xfrm>
                        <a:prstGeom prst="rect"/>
                        <a:solidFill>
                          <a:srgbClr val="FFFFFF"/>
                        </a:solidFill>
                      </wps:spPr>
                      <wps:txbx>
                        <w:txbxContent>
                          <w:p>
                            <w:pPr>
                              <w:pStyle w:val="TextBody"/>
                              <w:bidi w:val="0"/>
                              <w:spacing w:lineRule="auto" w:line="288" w:before="0" w:after="180"/>
                              <w:jc w:val="center"/>
                              <w:rPr>
                                <w:rFonts w:ascii="Trade Gothic;sans-serif" w:hAnsi="Trade Gothic;sans-serif"/>
                                <w:b w:val="false"/>
                                <w:color w:val="000000"/>
                                <w:sz w:val="19"/>
                              </w:rPr>
                            </w:pPr>
                            <w:r>
                              <w:rPr>
                                <w:rFonts w:ascii="Trade Gothic;sans-serif" w:hAnsi="Trade Gothic;sans-serif"/>
                                <w:b w:val="false"/>
                                <w:color w:val="000000"/>
                                <w:sz w:val="19"/>
                              </w:rPr>
                              <w:t>8</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0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180"/>
                        <w:jc w:val="center"/>
                        <w:rPr>
                          <w:rFonts w:ascii="Trade Gothic;sans-serif" w:hAnsi="Trade Gothic;sans-serif"/>
                          <w:b w:val="false"/>
                          <w:color w:val="000000"/>
                          <w:sz w:val="19"/>
                        </w:rPr>
                      </w:pPr>
                      <w:r>
                        <w:rPr>
                          <w:rFonts w:ascii="Trade Gothic;sans-serif" w:hAnsi="Trade Gothic;sans-serif"/>
                          <w:b w:val="false"/>
                          <w:color w:val="000000"/>
                          <w:sz w:val="19"/>
                        </w:rPr>
                        <w:t>8</w:t>
                      </w:r>
                    </w:p>
                  </w:txbxContent>
                </v:textbox>
                <w10:wrap type="none"/>
              </v:rect>
            </w:pict>
          </mc:Fallback>
        </mc:AlternateContent>
      </w:r>
    </w:p>
    <w:p>
      <w:pPr>
        <w:pStyle w:val="TextBody"/>
        <w:bidi w:val="0"/>
        <w:spacing w:lineRule="auto" w:line="288" w:before="0" w:after="180"/>
        <w:jc w:val="center"/>
        <w:rPr>
          <w:rFonts w:ascii="Trade Gothic;sans-serif" w:hAnsi="Trade Gothic;sans-serif"/>
          <w:b/>
          <w:color w:val="000000"/>
          <w:sz w:val="20"/>
        </w:rPr>
      </w:pPr>
      <w:r>
        <w:rPr>
          <w:rFonts w:ascii="Trade Gothic;sans-serif" w:hAnsi="Trade Gothic;sans-serif"/>
          <w:b/>
          <w:color w:val="000000"/>
          <w:sz w:val="20"/>
        </w:rPr>
        <w:t>CERTAIN RELATIONSHIPS AND RELATED PARTY TRANSACTIONS</w:t>
      </w:r>
    </w:p>
    <w:p>
      <w:pPr>
        <w:pStyle w:val="TextBody"/>
        <w:bidi w:val="0"/>
        <w:spacing w:lineRule="auto" w:line="288" w:before="0" w:after="240"/>
        <w:jc w:val="left"/>
        <w:rPr/>
      </w:pPr>
      <w:r>
        <w:rPr>
          <w:rFonts w:ascii="Trade Gothic;sans-serif" w:hAnsi="Trade Gothic;sans-serif"/>
          <w:b w:val="false"/>
          <w:color w:val="000000"/>
          <w:sz w:val="20"/>
        </w:rPr>
        <w:t>The following is a summary of transactions since January 1, 2023, to which we have been a party in which the amount involved exceeded the lesser of (i) $120,000 or (ii) one percent of the average of our total assets at year end for the last two completed fiscal years, and in which any of our executive officers, directors, promoters or beneficial holders of more than 5% of our capital stock had or will have a direct or indirect material interest, other than compensation arrangements which are described under the section titled “</w:t>
      </w:r>
      <w:r>
        <w:fldChar w:fldCharType="begin"/>
      </w:r>
      <w:r>
        <w:rPr>
          <w:rStyle w:val="InternetLink"/>
          <w:sz w:val="20"/>
          <w:u w:val="single"/>
          <w:b w:val="false"/>
          <w:rFonts w:ascii="Trade Gothic;sans-serif" w:hAnsi="Trade Gothic;sans-serif"/>
          <w:color w:val="0000FF"/>
        </w:rPr>
        <w:instrText xml:space="preserve"> HYPERLINK "https://www.sec.gov/ix?doc=/Archives/edgar/data/1827635/000182763526000013/mane-20251231.htm" \l "i9ca5e2be7bb943599d309f8713a7177d_1482"</w:instrText>
      </w:r>
      <w:r>
        <w:rPr>
          <w:rStyle w:val="InternetLink"/>
          <w:sz w:val="20"/>
          <w:u w:val="single"/>
          <w:b w:val="false"/>
          <w:rFonts w:ascii="Trade Gothic;sans-serif" w:hAnsi="Trade Gothic;sans-serif"/>
          <w:color w:val="0000FF"/>
        </w:rPr>
        <w:fldChar w:fldCharType="separate"/>
      </w:r>
      <w:r>
        <w:rPr>
          <w:rStyle w:val="InternetLink"/>
          <w:rFonts w:ascii="Trade Gothic;sans-serif" w:hAnsi="Trade Gothic;sans-serif"/>
          <w:b w:val="false"/>
          <w:color w:val="0000FF"/>
          <w:sz w:val="20"/>
          <w:u w:val="single"/>
        </w:rPr>
        <w:t>Executive and Director Compensation</w:t>
      </w:r>
      <w:r>
        <w:rPr>
          <w:rStyle w:val="InternetLink"/>
          <w:sz w:val="20"/>
          <w:u w:val="single"/>
          <w:b w:val="false"/>
          <w:rFonts w:ascii="Trade Gothic;sans-serif" w:hAnsi="Trade Gothic;sans-serif"/>
          <w:color w:val="0000FF"/>
        </w:rPr>
        <w:fldChar w:fldCharType="end"/>
      </w:r>
      <w:r>
        <w:rPr>
          <w:rFonts w:ascii="Trade Gothic;sans-serif" w:hAnsi="Trade Gothic;sans-serif"/>
          <w:b w:val="false"/>
          <w:color w:val="000000"/>
          <w:sz w:val="20"/>
        </w:rPr>
        <w:t>,” included in our Annual Report, which is incorporated by reference herein. We believe the terms obtained or consideration that we paid or received, as applicable, in connection with the transactions described below were comparable to terms available or the amounts that would be paid or received, as applicable, in arm’s-length transactions with unrelated third parties.</w:t>
      </w:r>
    </w:p>
    <w:p>
      <w:pPr>
        <w:pStyle w:val="TextBody"/>
        <w:bidi w:val="0"/>
        <w:spacing w:lineRule="auto" w:line="288" w:before="240" w:after="80"/>
        <w:jc w:val="left"/>
        <w:rPr>
          <w:rFonts w:ascii="Trade Gothic;sans-serif" w:hAnsi="Trade Gothic;sans-serif"/>
          <w:b/>
          <w:color w:val="000000"/>
          <w:sz w:val="20"/>
        </w:rPr>
      </w:pPr>
      <w:r>
        <w:rPr>
          <w:rFonts w:ascii="Trade Gothic;sans-serif" w:hAnsi="Trade Gothic;sans-serif"/>
          <w:b/>
          <w:color w:val="000000"/>
          <w:sz w:val="20"/>
        </w:rPr>
        <w:t>Private Placements</w:t>
      </w:r>
    </w:p>
    <w:p>
      <w:pPr>
        <w:pStyle w:val="TextBody"/>
        <w:bidi w:val="0"/>
        <w:spacing w:lineRule="auto" w:line="288" w:before="80" w:after="40"/>
        <w:jc w:val="left"/>
        <w:rPr>
          <w:rFonts w:ascii="Trade Gothic;sans-serif" w:hAnsi="Trade Gothic;sans-serif"/>
          <w:b/>
          <w:i/>
          <w:color w:val="000000"/>
          <w:sz w:val="20"/>
        </w:rPr>
      </w:pPr>
      <w:r>
        <w:rPr>
          <w:rFonts w:ascii="Trade Gothic;sans-serif" w:hAnsi="Trade Gothic;sans-serif"/>
          <w:b/>
          <w:i/>
          <w:color w:val="000000"/>
          <w:sz w:val="20"/>
        </w:rPr>
        <w:t>Series A-4 Preferred Stock</w:t>
      </w:r>
    </w:p>
    <w:p>
      <w:pPr>
        <w:pStyle w:val="TextBody"/>
        <w:bidi w:val="0"/>
        <w:spacing w:lineRule="auto" w:line="288" w:before="0" w:after="240"/>
        <w:jc w:val="left"/>
        <w:rPr>
          <w:rFonts w:ascii="Trade Gothic;sans-serif" w:hAnsi="Trade Gothic;sans-serif"/>
          <w:b w:val="false"/>
          <w:color w:val="000000"/>
          <w:sz w:val="20"/>
        </w:rPr>
      </w:pPr>
      <w:r>
        <w:rPr>
          <w:rFonts w:ascii="Trade Gothic;sans-serif" w:hAnsi="Trade Gothic;sans-serif"/>
          <w:b w:val="false"/>
          <w:color w:val="000000"/>
          <w:sz w:val="20"/>
        </w:rPr>
        <w:t>In April 2023, we entered into a Series A-4 Preferred Stock Purchase Agreement pursuant to which we issued an aggregate of 4,965,572 shares of our Series A-4 Preferred Stock at a purchase price of $3.0208 per share. Each share of our Series A-4 Preferred Stock converted into shares of our common stock immediately prior to the consummation of our IPO, including adjustments in connection with the 1-for-10.067 reverse stock split of our common stock, which was effected on January 27, 2026. The following table summarizes the Series A-4 Preferred Stock issued to our directors, executive officers and beneficial holders of more than 5% of our capital stock:</w:t>
      </w:r>
    </w:p>
    <w:tbl>
      <w:tblPr>
        <w:tblW w:w="10205" w:type="dxa"/>
        <w:jc w:val="left"/>
        <w:tblInd w:w="0" w:type="dxa"/>
        <w:tblLayout w:type="fixed"/>
        <w:tblCellMar>
          <w:top w:w="28" w:type="dxa"/>
          <w:left w:w="28" w:type="dxa"/>
          <w:bottom w:w="28" w:type="dxa"/>
          <w:right w:w="28" w:type="dxa"/>
        </w:tblCellMar>
      </w:tblPr>
      <w:tblGrid>
        <w:gridCol w:w="1310"/>
        <w:gridCol w:w="1025"/>
        <w:gridCol w:w="1035"/>
        <w:gridCol w:w="109"/>
        <w:gridCol w:w="109"/>
        <w:gridCol w:w="109"/>
        <w:gridCol w:w="1019"/>
        <w:gridCol w:w="820"/>
        <w:gridCol w:w="822"/>
        <w:gridCol w:w="109"/>
        <w:gridCol w:w="109"/>
        <w:gridCol w:w="109"/>
        <w:gridCol w:w="1163"/>
        <w:gridCol w:w="971"/>
        <w:gridCol w:w="1386"/>
      </w:tblGrid>
      <w:tr>
        <w:trPr/>
        <w:tc>
          <w:tcPr>
            <w:tcW w:w="1310" w:type="dxa"/>
            <w:tcBorders/>
            <w:vAlign w:val="center"/>
          </w:tcPr>
          <w:p>
            <w:pPr>
              <w:pStyle w:val="TableContents"/>
              <w:bidi w:val="0"/>
              <w:spacing w:before="0" w:after="283"/>
              <w:jc w:val="left"/>
              <w:rPr>
                <w:sz w:val="4"/>
                <w:szCs w:val="4"/>
              </w:rPr>
            </w:pPr>
            <w:r>
              <w:rPr>
                <w:sz w:val="4"/>
                <w:szCs w:val="4"/>
              </w:rPr>
            </w:r>
          </w:p>
        </w:tc>
        <w:tc>
          <w:tcPr>
            <w:tcW w:w="1025" w:type="dxa"/>
            <w:tcBorders/>
            <w:vAlign w:val="center"/>
          </w:tcPr>
          <w:p>
            <w:pPr>
              <w:pStyle w:val="TableContents"/>
              <w:bidi w:val="0"/>
              <w:spacing w:before="0" w:after="283"/>
              <w:jc w:val="left"/>
              <w:rPr>
                <w:sz w:val="4"/>
                <w:szCs w:val="4"/>
              </w:rPr>
            </w:pPr>
            <w:r>
              <w:rPr>
                <w:sz w:val="4"/>
                <w:szCs w:val="4"/>
              </w:rPr>
            </w:r>
          </w:p>
        </w:tc>
        <w:tc>
          <w:tcPr>
            <w:tcW w:w="103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19" w:type="dxa"/>
            <w:tcBorders/>
            <w:vAlign w:val="center"/>
          </w:tcPr>
          <w:p>
            <w:pPr>
              <w:pStyle w:val="TableContents"/>
              <w:bidi w:val="0"/>
              <w:spacing w:before="0" w:after="283"/>
              <w:jc w:val="left"/>
              <w:rPr>
                <w:sz w:val="4"/>
                <w:szCs w:val="4"/>
              </w:rPr>
            </w:pPr>
            <w:r>
              <w:rPr>
                <w:sz w:val="4"/>
                <w:szCs w:val="4"/>
              </w:rPr>
            </w:r>
          </w:p>
        </w:tc>
        <w:tc>
          <w:tcPr>
            <w:tcW w:w="820" w:type="dxa"/>
            <w:tcBorders/>
            <w:vAlign w:val="center"/>
          </w:tcPr>
          <w:p>
            <w:pPr>
              <w:pStyle w:val="TableContents"/>
              <w:bidi w:val="0"/>
              <w:spacing w:before="0" w:after="283"/>
              <w:jc w:val="left"/>
              <w:rPr>
                <w:sz w:val="4"/>
                <w:szCs w:val="4"/>
              </w:rPr>
            </w:pPr>
            <w:r>
              <w:rPr>
                <w:sz w:val="4"/>
                <w:szCs w:val="4"/>
              </w:rPr>
            </w:r>
          </w:p>
        </w:tc>
        <w:tc>
          <w:tcPr>
            <w:tcW w:w="82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63" w:type="dxa"/>
            <w:tcBorders/>
            <w:vAlign w:val="center"/>
          </w:tcPr>
          <w:p>
            <w:pPr>
              <w:pStyle w:val="TableContents"/>
              <w:bidi w:val="0"/>
              <w:spacing w:before="0" w:after="283"/>
              <w:jc w:val="left"/>
              <w:rPr>
                <w:sz w:val="4"/>
                <w:szCs w:val="4"/>
              </w:rPr>
            </w:pPr>
            <w:r>
              <w:rPr>
                <w:sz w:val="4"/>
                <w:szCs w:val="4"/>
              </w:rPr>
            </w:r>
          </w:p>
        </w:tc>
        <w:tc>
          <w:tcPr>
            <w:tcW w:w="971" w:type="dxa"/>
            <w:tcBorders/>
            <w:vAlign w:val="center"/>
          </w:tcPr>
          <w:p>
            <w:pPr>
              <w:pStyle w:val="TableContents"/>
              <w:bidi w:val="0"/>
              <w:spacing w:before="0" w:after="283"/>
              <w:jc w:val="left"/>
              <w:rPr>
                <w:sz w:val="4"/>
                <w:szCs w:val="4"/>
              </w:rPr>
            </w:pPr>
            <w:r>
              <w:rPr>
                <w:sz w:val="4"/>
                <w:szCs w:val="4"/>
              </w:rPr>
            </w:r>
          </w:p>
        </w:tc>
        <w:tc>
          <w:tcPr>
            <w:tcW w:w="1386" w:type="dxa"/>
            <w:tcBorders/>
            <w:vAlign w:val="center"/>
          </w:tcPr>
          <w:p>
            <w:pPr>
              <w:pStyle w:val="TableContents"/>
              <w:bidi w:val="0"/>
              <w:spacing w:before="0" w:after="283"/>
              <w:jc w:val="left"/>
              <w:rPr>
                <w:sz w:val="4"/>
                <w:szCs w:val="4"/>
              </w:rPr>
            </w:pPr>
            <w:r>
              <w:rPr>
                <w:sz w:val="4"/>
                <w:szCs w:val="4"/>
              </w:rPr>
            </w:r>
          </w:p>
        </w:tc>
      </w:tr>
      <w:tr>
        <w:trPr/>
        <w:tc>
          <w:tcPr>
            <w:tcW w:w="337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left"/>
              <w:rPr>
                <w:rFonts w:ascii="Trade Gothic;sans-serif" w:hAnsi="Trade Gothic;sans-serif"/>
                <w:b/>
                <w:color w:val="000000"/>
                <w:sz w:val="16"/>
              </w:rPr>
            </w:pPr>
            <w:r>
              <w:rPr>
                <w:rFonts w:ascii="Trade Gothic;sans-serif" w:hAnsi="Trade Gothic;sans-serif"/>
                <w:b/>
                <w:color w:val="000000"/>
                <w:sz w:val="16"/>
              </w:rPr>
              <w:t>Purchaser</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rade Gothic;sans-serif" w:hAnsi="Trade Gothic;sans-serif"/>
                <w:b/>
                <w:color w:val="000000"/>
                <w:sz w:val="16"/>
              </w:rPr>
            </w:pPr>
            <w:r>
              <w:rPr>
                <w:rFonts w:ascii="Trade Gothic;sans-serif" w:hAnsi="Trade Gothic;sans-serif"/>
                <w:b/>
                <w:color w:val="000000"/>
                <w:sz w:val="16"/>
              </w:rPr>
              <w:t>Shares of Series A-4 Preferred Stock</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2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rade Gothic;sans-serif" w:hAnsi="Trade Gothic;sans-serif"/>
                <w:b/>
                <w:color w:val="000000"/>
                <w:sz w:val="16"/>
              </w:rPr>
            </w:pPr>
            <w:r>
              <w:rPr>
                <w:rFonts w:ascii="Trade Gothic;sans-serif" w:hAnsi="Trade Gothic;sans-serif"/>
                <w:b/>
                <w:color w:val="000000"/>
                <w:sz w:val="16"/>
              </w:rPr>
              <w:t>Aggregate Purchase Price of Shares Purchased ($)</w:t>
            </w:r>
          </w:p>
        </w:tc>
      </w:tr>
      <w:tr>
        <w:trPr/>
        <w:tc>
          <w:tcPr>
            <w:tcW w:w="337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left"/>
              <w:rPr/>
            </w:pPr>
            <w:r>
              <w:rPr>
                <w:rFonts w:ascii="Trade Gothic;sans-serif" w:hAnsi="Trade Gothic;sans-serif"/>
                <w:b w:val="false"/>
                <w:color w:val="000000"/>
                <w:sz w:val="19"/>
              </w:rPr>
              <w:t>Entities affiliated with J.W. Childs Associates</w:t>
            </w:r>
            <w:r>
              <w:rPr>
                <w:rFonts w:ascii="Trade Gothic;sans-serif" w:hAnsi="Trade Gothic;sans-serif"/>
                <w:b w:val="false"/>
                <w:color w:val="000000"/>
                <w:sz w:val="12"/>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rade Gothic;sans-serif" w:hAnsi="Trade Gothic;sans-serif"/>
                <w:b w:val="false"/>
                <w:color w:val="000000"/>
                <w:sz w:val="19"/>
              </w:rPr>
            </w:pPr>
            <w:r>
              <w:rPr>
                <w:rFonts w:ascii="Trade Gothic;sans-serif" w:hAnsi="Trade Gothic;sans-serif"/>
                <w:b w:val="false"/>
                <w:color w:val="000000"/>
                <w:sz w:val="19"/>
              </w:rPr>
              <w:t>1,655,191 </w:t>
            </w:r>
          </w:p>
        </w:tc>
        <w:tc>
          <w:tcPr>
            <w:tcW w:w="82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rade Gothic;sans-serif" w:hAnsi="Trade Gothic;sans-serif"/>
                <w:b w:val="false"/>
                <w:color w:val="000000"/>
                <w:sz w:val="19"/>
              </w:rPr>
            </w:pPr>
            <w:r>
              <w:rPr>
                <w:rFonts w:ascii="Trade Gothic;sans-serif" w:hAnsi="Trade Gothic;sans-serif"/>
                <w:b w:val="false"/>
                <w:color w:val="000000"/>
                <w:sz w:val="19"/>
              </w:rPr>
              <w:t>5,000,001 </w:t>
            </w:r>
          </w:p>
        </w:tc>
        <w:tc>
          <w:tcPr>
            <w:tcW w:w="138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7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rade Gothic;sans-serif" w:hAnsi="Trade Gothic;sans-serif"/>
                <w:b w:val="false"/>
                <w:color w:val="000000"/>
                <w:sz w:val="19"/>
              </w:rPr>
            </w:pPr>
            <w:r>
              <w:rPr>
                <w:rFonts w:ascii="Trade Gothic;sans-serif" w:hAnsi="Trade Gothic;sans-serif"/>
                <w:b w:val="false"/>
                <w:color w:val="000000"/>
                <w:sz w:val="19"/>
              </w:rPr>
              <w:t>Entities Affiliated with ChemWerth, Inc.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rade Gothic;sans-serif" w:hAnsi="Trade Gothic;sans-serif"/>
                <w:b w:val="false"/>
                <w:color w:val="000000"/>
                <w:sz w:val="19"/>
              </w:rPr>
            </w:pPr>
            <w:r>
              <w:rPr>
                <w:rFonts w:ascii="Trade Gothic;sans-serif" w:hAnsi="Trade Gothic;sans-serif"/>
                <w:b w:val="false"/>
                <w:color w:val="000000"/>
                <w:sz w:val="19"/>
              </w:rPr>
              <w:t>827,595 </w:t>
            </w:r>
          </w:p>
        </w:tc>
        <w:tc>
          <w:tcPr>
            <w:tcW w:w="8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rade Gothic;sans-serif" w:hAnsi="Trade Gothic;sans-serif"/>
                <w:b w:val="false"/>
                <w:color w:val="000000"/>
                <w:sz w:val="19"/>
              </w:rPr>
            </w:pPr>
            <w:r>
              <w:rPr>
                <w:rFonts w:ascii="Trade Gothic;sans-serif" w:hAnsi="Trade Gothic;sans-serif"/>
                <w:b w:val="false"/>
                <w:color w:val="000000"/>
                <w:sz w:val="19"/>
              </w:rPr>
              <w:t>2,499,999 </w:t>
            </w:r>
          </w:p>
        </w:tc>
        <w:tc>
          <w:tcPr>
            <w:tcW w:w="13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7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rade Gothic;sans-serif" w:hAnsi="Trade Gothic;sans-serif"/>
                <w:b w:val="false"/>
                <w:color w:val="000000"/>
                <w:sz w:val="19"/>
              </w:rPr>
            </w:pPr>
            <w:r>
              <w:rPr>
                <w:rFonts w:ascii="Trade Gothic;sans-serif" w:hAnsi="Trade Gothic;sans-serif"/>
                <w:b w:val="false"/>
                <w:color w:val="000000"/>
                <w:sz w:val="19"/>
              </w:rPr>
              <w:t>Connecticut Innovations, Incorporated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rade Gothic;sans-serif" w:hAnsi="Trade Gothic;sans-serif"/>
                <w:b w:val="false"/>
                <w:color w:val="000000"/>
                <w:sz w:val="19"/>
              </w:rPr>
            </w:pPr>
            <w:r>
              <w:rPr>
                <w:rFonts w:ascii="Trade Gothic;sans-serif" w:hAnsi="Trade Gothic;sans-serif"/>
                <w:b w:val="false"/>
                <w:color w:val="000000"/>
                <w:sz w:val="19"/>
              </w:rPr>
              <w:t>794,491 </w:t>
            </w:r>
          </w:p>
        </w:tc>
        <w:tc>
          <w:tcPr>
            <w:tcW w:w="8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rade Gothic;sans-serif" w:hAnsi="Trade Gothic;sans-serif"/>
                <w:b w:val="false"/>
                <w:color w:val="000000"/>
                <w:sz w:val="19"/>
              </w:rPr>
            </w:pPr>
            <w:r>
              <w:rPr>
                <w:rFonts w:ascii="Trade Gothic;sans-serif" w:hAnsi="Trade Gothic;sans-serif"/>
                <w:b w:val="false"/>
                <w:color w:val="000000"/>
                <w:sz w:val="19"/>
              </w:rPr>
              <w:t>2,399,998 </w:t>
            </w:r>
          </w:p>
        </w:tc>
        <w:tc>
          <w:tcPr>
            <w:tcW w:w="13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7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rade Gothic;sans-serif" w:hAnsi="Trade Gothic;sans-serif"/>
                <w:b w:val="false"/>
                <w:color w:val="000000"/>
                <w:sz w:val="19"/>
              </w:rPr>
            </w:pPr>
            <w:r>
              <w:rPr>
                <w:rFonts w:ascii="Trade Gothic;sans-serif" w:hAnsi="Trade Gothic;sans-serif"/>
                <w:b w:val="false"/>
                <w:color w:val="000000"/>
                <w:sz w:val="19"/>
              </w:rPr>
              <w:t>Therapeutics, Inc.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rade Gothic;sans-serif" w:hAnsi="Trade Gothic;sans-serif"/>
                <w:b w:val="false"/>
                <w:color w:val="000000"/>
                <w:sz w:val="19"/>
              </w:rPr>
            </w:pPr>
            <w:r>
              <w:rPr>
                <w:rFonts w:ascii="Trade Gothic;sans-serif" w:hAnsi="Trade Gothic;sans-serif"/>
                <w:b w:val="false"/>
                <w:color w:val="000000"/>
                <w:sz w:val="19"/>
              </w:rPr>
              <w:t>354,212 </w:t>
            </w:r>
          </w:p>
        </w:tc>
        <w:tc>
          <w:tcPr>
            <w:tcW w:w="8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rade Gothic;sans-serif" w:hAnsi="Trade Gothic;sans-serif"/>
                <w:b w:val="false"/>
                <w:color w:val="000000"/>
                <w:sz w:val="19"/>
              </w:rPr>
            </w:pPr>
            <w:r>
              <w:rPr>
                <w:rFonts w:ascii="Trade Gothic;sans-serif" w:hAnsi="Trade Gothic;sans-serif"/>
                <w:b w:val="false"/>
                <w:color w:val="000000"/>
                <w:sz w:val="19"/>
              </w:rPr>
              <w:t>1,070,004 </w:t>
            </w:r>
          </w:p>
        </w:tc>
        <w:tc>
          <w:tcPr>
            <w:tcW w:w="13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7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rade Gothic;sans-serif" w:hAnsi="Trade Gothic;sans-serif"/>
                <w:b w:val="false"/>
                <w:color w:val="000000"/>
                <w:sz w:val="19"/>
              </w:rPr>
            </w:pPr>
            <w:r>
              <w:rPr>
                <w:rFonts w:ascii="Trade Gothic;sans-serif" w:hAnsi="Trade Gothic;sans-serif"/>
                <w:b w:val="false"/>
                <w:color w:val="000000"/>
                <w:sz w:val="19"/>
              </w:rPr>
              <w:t>Mediqventures Limited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rade Gothic;sans-serif" w:hAnsi="Trade Gothic;sans-serif"/>
                <w:b w:val="false"/>
                <w:color w:val="000000"/>
                <w:sz w:val="19"/>
              </w:rPr>
            </w:pPr>
            <w:r>
              <w:rPr>
                <w:rFonts w:ascii="Trade Gothic;sans-serif" w:hAnsi="Trade Gothic;sans-serif"/>
                <w:b w:val="false"/>
                <w:color w:val="000000"/>
                <w:sz w:val="19"/>
              </w:rPr>
              <w:t>331,038 </w:t>
            </w:r>
          </w:p>
        </w:tc>
        <w:tc>
          <w:tcPr>
            <w:tcW w:w="8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rade Gothic;sans-serif" w:hAnsi="Trade Gothic;sans-serif"/>
                <w:b w:val="false"/>
                <w:color w:val="000000"/>
                <w:sz w:val="19"/>
              </w:rPr>
            </w:pPr>
            <w:r>
              <w:rPr>
                <w:rFonts w:ascii="Trade Gothic;sans-serif" w:hAnsi="Trade Gothic;sans-serif"/>
                <w:b w:val="false"/>
                <w:color w:val="000000"/>
                <w:sz w:val="19"/>
              </w:rPr>
              <w:t>1,000,000 </w:t>
            </w:r>
          </w:p>
        </w:tc>
        <w:tc>
          <w:tcPr>
            <w:tcW w:w="13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7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rade Gothic;sans-serif" w:hAnsi="Trade Gothic;sans-serif"/>
                <w:b w:val="false"/>
                <w:color w:val="000000"/>
                <w:sz w:val="19"/>
              </w:rPr>
              <w:t>Trusts affiliated with Vladimir Coric</w:t>
            </w:r>
            <w:r>
              <w:rPr>
                <w:rFonts w:ascii="Trade Gothic;sans-serif" w:hAnsi="Trade Gothic;sans-serif"/>
                <w:b w:val="false"/>
                <w:color w:val="000000"/>
                <w:sz w:val="12"/>
              </w:rPr>
              <w:t>(2)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rade Gothic;sans-serif" w:hAnsi="Trade Gothic;sans-serif"/>
                <w:b w:val="false"/>
                <w:color w:val="000000"/>
                <w:sz w:val="19"/>
              </w:rPr>
            </w:pPr>
            <w:r>
              <w:rPr>
                <w:rFonts w:ascii="Trade Gothic;sans-serif" w:hAnsi="Trade Gothic;sans-serif"/>
                <w:b w:val="false"/>
                <w:color w:val="000000"/>
                <w:sz w:val="19"/>
              </w:rPr>
              <w:t>331,038 </w:t>
            </w:r>
          </w:p>
        </w:tc>
        <w:tc>
          <w:tcPr>
            <w:tcW w:w="8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rade Gothic;sans-serif" w:hAnsi="Trade Gothic;sans-serif"/>
                <w:b w:val="false"/>
                <w:color w:val="000000"/>
                <w:sz w:val="19"/>
              </w:rPr>
            </w:pPr>
            <w:r>
              <w:rPr>
                <w:rFonts w:ascii="Trade Gothic;sans-serif" w:hAnsi="Trade Gothic;sans-serif"/>
                <w:b w:val="false"/>
                <w:color w:val="000000"/>
                <w:sz w:val="19"/>
              </w:rPr>
              <w:t>1,000,000 </w:t>
            </w:r>
          </w:p>
        </w:tc>
        <w:tc>
          <w:tcPr>
            <w:tcW w:w="13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7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rade Gothic;sans-serif" w:hAnsi="Trade Gothic;sans-serif"/>
                <w:b w:val="false"/>
                <w:color w:val="000000"/>
                <w:sz w:val="19"/>
              </w:rPr>
            </w:pPr>
            <w:r>
              <w:rPr>
                <w:rFonts w:ascii="Trade Gothic;sans-serif" w:hAnsi="Trade Gothic;sans-serif"/>
                <w:b w:val="false"/>
                <w:color w:val="000000"/>
                <w:sz w:val="19"/>
              </w:rPr>
              <w:t>Christopher S. Eklund Trust U/A/D 8/31/2000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rade Gothic;sans-serif" w:hAnsi="Trade Gothic;sans-serif"/>
                <w:b w:val="false"/>
                <w:color w:val="000000"/>
                <w:sz w:val="19"/>
              </w:rPr>
            </w:pPr>
            <w:r>
              <w:rPr>
                <w:rFonts w:ascii="Trade Gothic;sans-serif" w:hAnsi="Trade Gothic;sans-serif"/>
                <w:b w:val="false"/>
                <w:color w:val="000000"/>
                <w:sz w:val="19"/>
              </w:rPr>
              <w:t>281,382 </w:t>
            </w:r>
          </w:p>
        </w:tc>
        <w:tc>
          <w:tcPr>
            <w:tcW w:w="8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rade Gothic;sans-serif" w:hAnsi="Trade Gothic;sans-serif"/>
                <w:b w:val="false"/>
                <w:color w:val="000000"/>
                <w:sz w:val="19"/>
              </w:rPr>
            </w:pPr>
            <w:r>
              <w:rPr>
                <w:rFonts w:ascii="Trade Gothic;sans-serif" w:hAnsi="Trade Gothic;sans-serif"/>
                <w:b w:val="false"/>
                <w:color w:val="000000"/>
                <w:sz w:val="19"/>
              </w:rPr>
              <w:t>849,999 </w:t>
            </w:r>
          </w:p>
        </w:tc>
        <w:tc>
          <w:tcPr>
            <w:tcW w:w="13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70"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661"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520"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360"/>
        <w:jc w:val="left"/>
        <w:rPr>
          <w:rFonts w:ascii="Trade Gothic;sans-serif" w:hAnsi="Trade Gothic;sans-serif"/>
          <w:b w:val="false"/>
          <w:color w:val="000000"/>
          <w:sz w:val="16"/>
        </w:rPr>
      </w:pPr>
      <w:r>
        <w:rPr>
          <w:rFonts w:ascii="Trade Gothic;sans-serif" w:hAnsi="Trade Gothic;sans-serif"/>
          <w:b w:val="false"/>
          <w:color w:val="000000"/>
          <w:sz w:val="16"/>
        </w:rPr>
        <w:t>(1)Mr. Childs, a member of our board of directors, serves as Chairman of J.W. Childs Associates, L.P. Entities related to J.W. Childs Associates beneficially own more than 5% of our capital stock.</w:t>
      </w:r>
    </w:p>
    <w:p>
      <w:pPr>
        <w:pStyle w:val="TextBody"/>
        <w:bidi w:val="0"/>
        <w:spacing w:lineRule="auto" w:line="288" w:before="0" w:after="240"/>
        <w:ind w:left="0" w:right="0" w:hanging="360"/>
        <w:jc w:val="left"/>
        <w:rPr>
          <w:rFonts w:ascii="Trade Gothic;sans-serif" w:hAnsi="Trade Gothic;sans-serif"/>
          <w:b w:val="false"/>
          <w:color w:val="000000"/>
          <w:sz w:val="16"/>
        </w:rPr>
      </w:pPr>
      <w:r>
        <w:rPr>
          <w:rFonts w:ascii="Trade Gothic;sans-serif" w:hAnsi="Trade Gothic;sans-serif"/>
          <w:b w:val="false"/>
          <w:color w:val="000000"/>
          <w:sz w:val="16"/>
        </w:rPr>
        <w:t>(2)Dr. Coric, a member of our board of directors, is a beneficiary of the Vladimir Coric Family Trust 2013 and the Vladimir Coric Marital Trust 2013, each of which is administered by Elizabeth Ann Coric as trustee. Trusts affiliated with Vladimir Coric beneficially own more than 5% of our capital stock.</w:t>
      </w:r>
    </w:p>
    <w:p>
      <w:pPr>
        <w:pStyle w:val="TextBody"/>
        <w:bidi w:val="0"/>
        <w:spacing w:lineRule="auto" w:line="288" w:before="80" w:after="40"/>
        <w:jc w:val="left"/>
        <w:rPr>
          <w:rFonts w:ascii="Trade Gothic;sans-serif" w:hAnsi="Trade Gothic;sans-serif"/>
          <w:b/>
          <w:i/>
          <w:color w:val="000000"/>
          <w:sz w:val="20"/>
        </w:rPr>
      </w:pPr>
      <w:r>
        <w:rPr>
          <w:rFonts w:ascii="Trade Gothic;sans-serif" w:hAnsi="Trade Gothic;sans-serif"/>
          <w:b/>
          <w:i/>
          <w:color w:val="000000"/>
          <w:sz w:val="20"/>
        </w:rPr>
        <w:t>Series B Preferred Stock</w:t>
      </w:r>
    </w:p>
    <w:p>
      <w:pPr>
        <w:pStyle w:val="TextBody"/>
        <w:bidi w:val="0"/>
        <w:spacing w:lineRule="auto" w:line="288" w:before="0" w:after="240"/>
        <w:jc w:val="left"/>
        <w:rPr>
          <w:rFonts w:ascii="Trade Gothic;sans-serif" w:hAnsi="Trade Gothic;sans-serif"/>
          <w:b w:val="false"/>
          <w:color w:val="000000"/>
          <w:sz w:val="20"/>
        </w:rPr>
      </w:pPr>
      <w:r>
        <w:rPr>
          <w:rFonts w:ascii="Trade Gothic;sans-serif" w:hAnsi="Trade Gothic;sans-serif"/>
          <w:b w:val="false"/>
          <w:color w:val="000000"/>
          <w:sz w:val="20"/>
        </w:rPr>
        <w:t xml:space="preserve">In November 2024, we entered into a Series B Preferred Stock Purchase Agreement, or the Series B Preferred Stock Purchase Agreement, pursuant to which we issued an aggregate of 62,245,805 shares of our Series B Preferred Stock at a purchase price of $1.2049 per share. Where applicable, the payment of the purchase price consisted of or included the automatic conversion of certain convertible promissory notes, representing an aggregate outstanding principal amount and accrued interest of $10.4 million, into 8,661,917 shares of Series B Preferred Stock. Each share of our Series B Preferred Stock converted into shares of our common stock immediately prior to the consummation of our IPO, including adjustments in connection with the 1-for-10.067 reverse stock split of our common stock, which was effected on January 27, 2026. The following table summarizes </w:t>
      </w:r>
    </w:p>
    <w:p>
      <w:pPr>
        <w:pStyle w:val="TextBody"/>
        <w:bidi w:val="0"/>
        <w:spacing w:before="0" w:after="0"/>
        <w:jc w:val="right"/>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140335"/>
                <wp:effectExtent l="0" t="0" r="0" b="0"/>
                <wp:wrapNone/>
                <wp:docPr id="13" name="Frame12"/>
                <a:graphic xmlns:a="http://schemas.openxmlformats.org/drawingml/2006/main">
                  <a:graphicData uri="http://schemas.microsoft.com/office/word/2010/wordprocessingShape">
                    <wps:wsp>
                      <wps:cNvSpPr txBox="1"/>
                      <wps:spPr>
                        <a:xfrm>
                          <a:off x="0" y="0"/>
                          <a:ext cx="6480175" cy="140335"/>
                        </a:xfrm>
                        <a:prstGeom prst="rect"/>
                        <a:solidFill>
                          <a:srgbClr val="FFFFFF"/>
                        </a:solidFill>
                      </wps:spPr>
                      <wps:txbx>
                        <w:txbxContent>
                          <w:p>
                            <w:pPr>
                              <w:pStyle w:val="TextBody"/>
                              <w:bidi w:val="0"/>
                              <w:spacing w:lineRule="auto" w:line="288" w:before="0" w:after="180"/>
                              <w:jc w:val="center"/>
                              <w:rPr>
                                <w:rFonts w:ascii="Trade Gothic;sans-serif" w:hAnsi="Trade Gothic;sans-serif"/>
                                <w:b w:val="false"/>
                                <w:color w:val="000000"/>
                                <w:sz w:val="19"/>
                              </w:rPr>
                            </w:pPr>
                            <w:r>
                              <w:rPr>
                                <w:rFonts w:ascii="Trade Gothic;sans-serif" w:hAnsi="Trade Gothic;sans-serif"/>
                                <w:b w:val="false"/>
                                <w:color w:val="000000"/>
                                <w:sz w:val="19"/>
                              </w:rPr>
                              <w:t>9</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0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180"/>
                        <w:jc w:val="center"/>
                        <w:rPr>
                          <w:rFonts w:ascii="Trade Gothic;sans-serif" w:hAnsi="Trade Gothic;sans-serif"/>
                          <w:b w:val="false"/>
                          <w:color w:val="000000"/>
                          <w:sz w:val="19"/>
                        </w:rPr>
                      </w:pPr>
                      <w:r>
                        <w:rPr>
                          <w:rFonts w:ascii="Trade Gothic;sans-serif" w:hAnsi="Trade Gothic;sans-serif"/>
                          <w:b w:val="false"/>
                          <w:color w:val="000000"/>
                          <w:sz w:val="19"/>
                        </w:rPr>
                        <w:t>9</w:t>
                      </w:r>
                    </w:p>
                  </w:txbxContent>
                </v:textbox>
                <w10:wrap type="none"/>
              </v:rect>
            </w:pict>
          </mc:Fallback>
        </mc:AlternateContent>
      </w:r>
    </w:p>
    <w:p>
      <w:pPr>
        <w:pStyle w:val="TextBody"/>
        <w:bidi w:val="0"/>
        <w:spacing w:lineRule="auto" w:line="288" w:before="0" w:after="240"/>
        <w:jc w:val="left"/>
        <w:rPr>
          <w:rFonts w:ascii="Trade Gothic;sans-serif" w:hAnsi="Trade Gothic;sans-serif"/>
          <w:b w:val="false"/>
          <w:color w:val="000000"/>
          <w:sz w:val="20"/>
        </w:rPr>
      </w:pPr>
      <w:r>
        <w:rPr>
          <w:rFonts w:ascii="Trade Gothic;sans-serif" w:hAnsi="Trade Gothic;sans-serif"/>
          <w:b w:val="false"/>
          <w:color w:val="000000"/>
          <w:sz w:val="20"/>
        </w:rPr>
        <w:t>the Series B Preferred Stock issued to our directors, executive officers and beneficial holders of more than 5% of our capital stock:</w:t>
      </w:r>
    </w:p>
    <w:tbl>
      <w:tblPr>
        <w:tblW w:w="10205" w:type="dxa"/>
        <w:jc w:val="left"/>
        <w:tblInd w:w="0" w:type="dxa"/>
        <w:tblLayout w:type="fixed"/>
        <w:tblCellMar>
          <w:top w:w="28" w:type="dxa"/>
          <w:left w:w="28" w:type="dxa"/>
          <w:bottom w:w="28" w:type="dxa"/>
          <w:right w:w="28" w:type="dxa"/>
        </w:tblCellMar>
      </w:tblPr>
      <w:tblGrid>
        <w:gridCol w:w="996"/>
        <w:gridCol w:w="584"/>
        <w:gridCol w:w="590"/>
        <w:gridCol w:w="109"/>
        <w:gridCol w:w="109"/>
        <w:gridCol w:w="109"/>
        <w:gridCol w:w="962"/>
        <w:gridCol w:w="486"/>
        <w:gridCol w:w="487"/>
        <w:gridCol w:w="109"/>
        <w:gridCol w:w="109"/>
        <w:gridCol w:w="109"/>
        <w:gridCol w:w="1039"/>
        <w:gridCol w:w="625"/>
        <w:gridCol w:w="627"/>
        <w:gridCol w:w="109"/>
        <w:gridCol w:w="109"/>
        <w:gridCol w:w="109"/>
        <w:gridCol w:w="1056"/>
        <w:gridCol w:w="731"/>
        <w:gridCol w:w="1041"/>
      </w:tblGrid>
      <w:tr>
        <w:trPr/>
        <w:tc>
          <w:tcPr>
            <w:tcW w:w="996" w:type="dxa"/>
            <w:tcBorders/>
            <w:vAlign w:val="center"/>
          </w:tcPr>
          <w:p>
            <w:pPr>
              <w:pStyle w:val="TableContents"/>
              <w:bidi w:val="0"/>
              <w:spacing w:before="0" w:after="283"/>
              <w:jc w:val="left"/>
              <w:rPr>
                <w:sz w:val="4"/>
                <w:szCs w:val="4"/>
              </w:rPr>
            </w:pPr>
            <w:r>
              <w:rPr>
                <w:sz w:val="4"/>
                <w:szCs w:val="4"/>
              </w:rPr>
            </w:r>
          </w:p>
        </w:tc>
        <w:tc>
          <w:tcPr>
            <w:tcW w:w="584" w:type="dxa"/>
            <w:tcBorders/>
            <w:vAlign w:val="center"/>
          </w:tcPr>
          <w:p>
            <w:pPr>
              <w:pStyle w:val="TableContents"/>
              <w:bidi w:val="0"/>
              <w:spacing w:before="0" w:after="283"/>
              <w:jc w:val="left"/>
              <w:rPr>
                <w:sz w:val="4"/>
                <w:szCs w:val="4"/>
              </w:rPr>
            </w:pPr>
            <w:r>
              <w:rPr>
                <w:sz w:val="4"/>
                <w:szCs w:val="4"/>
              </w:rPr>
            </w:r>
          </w:p>
        </w:tc>
        <w:tc>
          <w:tcPr>
            <w:tcW w:w="59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62" w:type="dxa"/>
            <w:tcBorders/>
            <w:vAlign w:val="center"/>
          </w:tcPr>
          <w:p>
            <w:pPr>
              <w:pStyle w:val="TableContents"/>
              <w:bidi w:val="0"/>
              <w:spacing w:before="0" w:after="283"/>
              <w:jc w:val="left"/>
              <w:rPr>
                <w:sz w:val="4"/>
                <w:szCs w:val="4"/>
              </w:rPr>
            </w:pPr>
            <w:r>
              <w:rPr>
                <w:sz w:val="4"/>
                <w:szCs w:val="4"/>
              </w:rPr>
            </w:r>
          </w:p>
        </w:tc>
        <w:tc>
          <w:tcPr>
            <w:tcW w:w="486" w:type="dxa"/>
            <w:tcBorders/>
            <w:vAlign w:val="center"/>
          </w:tcPr>
          <w:p>
            <w:pPr>
              <w:pStyle w:val="TableContents"/>
              <w:bidi w:val="0"/>
              <w:spacing w:before="0" w:after="283"/>
              <w:jc w:val="left"/>
              <w:rPr>
                <w:sz w:val="4"/>
                <w:szCs w:val="4"/>
              </w:rPr>
            </w:pPr>
            <w:r>
              <w:rPr>
                <w:sz w:val="4"/>
                <w:szCs w:val="4"/>
              </w:rPr>
            </w:r>
          </w:p>
        </w:tc>
        <w:tc>
          <w:tcPr>
            <w:tcW w:w="48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39" w:type="dxa"/>
            <w:tcBorders/>
            <w:vAlign w:val="center"/>
          </w:tcPr>
          <w:p>
            <w:pPr>
              <w:pStyle w:val="TableContents"/>
              <w:bidi w:val="0"/>
              <w:spacing w:before="0" w:after="283"/>
              <w:jc w:val="left"/>
              <w:rPr>
                <w:sz w:val="4"/>
                <w:szCs w:val="4"/>
              </w:rPr>
            </w:pPr>
            <w:r>
              <w:rPr>
                <w:sz w:val="4"/>
                <w:szCs w:val="4"/>
              </w:rPr>
            </w:r>
          </w:p>
        </w:tc>
        <w:tc>
          <w:tcPr>
            <w:tcW w:w="625" w:type="dxa"/>
            <w:tcBorders/>
            <w:vAlign w:val="center"/>
          </w:tcPr>
          <w:p>
            <w:pPr>
              <w:pStyle w:val="TableContents"/>
              <w:bidi w:val="0"/>
              <w:spacing w:before="0" w:after="283"/>
              <w:jc w:val="left"/>
              <w:rPr>
                <w:sz w:val="4"/>
                <w:szCs w:val="4"/>
              </w:rPr>
            </w:pPr>
            <w:r>
              <w:rPr>
                <w:sz w:val="4"/>
                <w:szCs w:val="4"/>
              </w:rPr>
            </w:r>
          </w:p>
        </w:tc>
        <w:tc>
          <w:tcPr>
            <w:tcW w:w="62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56" w:type="dxa"/>
            <w:tcBorders/>
            <w:vAlign w:val="center"/>
          </w:tcPr>
          <w:p>
            <w:pPr>
              <w:pStyle w:val="TableContents"/>
              <w:bidi w:val="0"/>
              <w:spacing w:before="0" w:after="283"/>
              <w:jc w:val="left"/>
              <w:rPr>
                <w:sz w:val="4"/>
                <w:szCs w:val="4"/>
              </w:rPr>
            </w:pPr>
            <w:r>
              <w:rPr>
                <w:sz w:val="4"/>
                <w:szCs w:val="4"/>
              </w:rPr>
            </w:r>
          </w:p>
        </w:tc>
        <w:tc>
          <w:tcPr>
            <w:tcW w:w="731" w:type="dxa"/>
            <w:tcBorders/>
            <w:vAlign w:val="center"/>
          </w:tcPr>
          <w:p>
            <w:pPr>
              <w:pStyle w:val="TableContents"/>
              <w:bidi w:val="0"/>
              <w:spacing w:before="0" w:after="283"/>
              <w:jc w:val="left"/>
              <w:rPr>
                <w:sz w:val="4"/>
                <w:szCs w:val="4"/>
              </w:rPr>
            </w:pPr>
            <w:r>
              <w:rPr>
                <w:sz w:val="4"/>
                <w:szCs w:val="4"/>
              </w:rPr>
            </w:r>
          </w:p>
        </w:tc>
        <w:tc>
          <w:tcPr>
            <w:tcW w:w="1041" w:type="dxa"/>
            <w:tcBorders/>
            <w:vAlign w:val="center"/>
          </w:tcPr>
          <w:p>
            <w:pPr>
              <w:pStyle w:val="TableContents"/>
              <w:bidi w:val="0"/>
              <w:spacing w:before="0" w:after="283"/>
              <w:jc w:val="left"/>
              <w:rPr>
                <w:sz w:val="4"/>
                <w:szCs w:val="4"/>
              </w:rPr>
            </w:pPr>
            <w:r>
              <w:rPr>
                <w:sz w:val="4"/>
                <w:szCs w:val="4"/>
              </w:rPr>
            </w:r>
          </w:p>
        </w:tc>
      </w:tr>
      <w:tr>
        <w:trPr/>
        <w:tc>
          <w:tcPr>
            <w:tcW w:w="217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left"/>
              <w:rPr>
                <w:rFonts w:ascii="Trade Gothic;sans-serif" w:hAnsi="Trade Gothic;sans-serif"/>
                <w:b/>
                <w:color w:val="000000"/>
                <w:sz w:val="16"/>
              </w:rPr>
            </w:pPr>
            <w:r>
              <w:rPr>
                <w:rFonts w:ascii="Trade Gothic;sans-serif" w:hAnsi="Trade Gothic;sans-serif"/>
                <w:b/>
                <w:color w:val="000000"/>
                <w:sz w:val="16"/>
              </w:rPr>
              <w:t>Purchaser</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3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rade Gothic;sans-serif" w:hAnsi="Trade Gothic;sans-serif"/>
                <w:b/>
                <w:color w:val="000000"/>
                <w:sz w:val="16"/>
              </w:rPr>
            </w:pPr>
            <w:r>
              <w:rPr>
                <w:rFonts w:ascii="Trade Gothic;sans-serif" w:hAnsi="Trade Gothic;sans-serif"/>
                <w:b/>
                <w:color w:val="000000"/>
                <w:sz w:val="16"/>
              </w:rPr>
              <w:t>Shares of Series B Preferred Stock</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rade Gothic;sans-serif" w:hAnsi="Trade Gothic;sans-serif"/>
                <w:b/>
                <w:color w:val="000000"/>
                <w:sz w:val="16"/>
              </w:rPr>
            </w:pPr>
            <w:r>
              <w:rPr>
                <w:rFonts w:ascii="Trade Gothic;sans-serif" w:hAnsi="Trade Gothic;sans-serif"/>
                <w:b/>
                <w:color w:val="000000"/>
                <w:sz w:val="16"/>
              </w:rPr>
              <w:t>Aggregate Purchase Price of Shares Purchased ($)</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2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rade Gothic;sans-serif" w:hAnsi="Trade Gothic;sans-serif"/>
                <w:b/>
                <w:color w:val="000000"/>
                <w:sz w:val="16"/>
              </w:rPr>
            </w:pPr>
            <w:r>
              <w:rPr>
                <w:rFonts w:ascii="Trade Gothic;sans-serif" w:hAnsi="Trade Gothic;sans-serif"/>
                <w:b/>
                <w:color w:val="000000"/>
                <w:sz w:val="16"/>
              </w:rPr>
              <w:t>Aggregate Principal Amount of Converted Convertible Promissory Notes ($)</w:t>
            </w:r>
          </w:p>
        </w:tc>
      </w:tr>
      <w:tr>
        <w:trPr/>
        <w:tc>
          <w:tcPr>
            <w:tcW w:w="217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left"/>
              <w:rPr/>
            </w:pPr>
            <w:r>
              <w:rPr>
                <w:rFonts w:ascii="Trade Gothic;sans-serif" w:hAnsi="Trade Gothic;sans-serif"/>
                <w:b w:val="false"/>
                <w:color w:val="000000"/>
                <w:sz w:val="19"/>
              </w:rPr>
              <w:t>Longitude Venture Partners V, L.P.</w:t>
            </w:r>
            <w:r>
              <w:rPr>
                <w:rFonts w:ascii="Trade Gothic;sans-serif" w:hAnsi="Trade Gothic;sans-serif"/>
                <w:b w:val="false"/>
                <w:color w:val="000000"/>
                <w:sz w:val="12"/>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rade Gothic;sans-serif" w:hAnsi="Trade Gothic;sans-serif"/>
                <w:b w:val="false"/>
                <w:color w:val="000000"/>
                <w:sz w:val="19"/>
              </w:rPr>
            </w:pPr>
            <w:r>
              <w:rPr>
                <w:rFonts w:ascii="Trade Gothic;sans-serif" w:hAnsi="Trade Gothic;sans-serif"/>
                <w:b w:val="false"/>
                <w:color w:val="000000"/>
                <w:sz w:val="19"/>
              </w:rPr>
              <w:t>12,449,165 </w:t>
            </w:r>
          </w:p>
        </w:tc>
        <w:tc>
          <w:tcPr>
            <w:tcW w:w="48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rade Gothic;sans-serif" w:hAnsi="Trade Gothic;sans-serif"/>
                <w:b w:val="false"/>
                <w:color w:val="000000"/>
                <w:sz w:val="19"/>
              </w:rPr>
            </w:pPr>
            <w:r>
              <w:rPr>
                <w:rFonts w:ascii="Trade Gothic;sans-serif" w:hAnsi="Trade Gothic;sans-serif"/>
                <w:b w:val="false"/>
                <w:color w:val="000000"/>
                <w:sz w:val="19"/>
              </w:rPr>
              <w:t>14,999,999 </w:t>
            </w:r>
          </w:p>
        </w:tc>
        <w:tc>
          <w:tcPr>
            <w:tcW w:w="62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4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7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rade Gothic;sans-serif" w:hAnsi="Trade Gothic;sans-serif"/>
                <w:b w:val="false"/>
                <w:color w:val="000000"/>
                <w:sz w:val="19"/>
              </w:rPr>
              <w:t>Entities affiliated with J.W. Childs Associates</w:t>
            </w:r>
            <w:r>
              <w:rPr>
                <w:rFonts w:ascii="Trade Gothic;sans-serif" w:hAnsi="Trade Gothic;sans-serif"/>
                <w:b w:val="false"/>
                <w:color w:val="000000"/>
                <w:sz w:val="12"/>
              </w:rPr>
              <w:t>(2)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rade Gothic;sans-serif" w:hAnsi="Trade Gothic;sans-serif"/>
                <w:b w:val="false"/>
                <w:color w:val="000000"/>
                <w:sz w:val="19"/>
              </w:rPr>
            </w:pPr>
            <w:r>
              <w:rPr>
                <w:rFonts w:ascii="Trade Gothic;sans-serif" w:hAnsi="Trade Gothic;sans-serif"/>
                <w:b w:val="false"/>
                <w:color w:val="000000"/>
                <w:sz w:val="19"/>
              </w:rPr>
              <w:t>9,129,388 </w:t>
            </w:r>
          </w:p>
        </w:tc>
        <w:tc>
          <w:tcPr>
            <w:tcW w:w="4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rade Gothic;sans-serif" w:hAnsi="Trade Gothic;sans-serif"/>
                <w:b w:val="false"/>
                <w:color w:val="000000"/>
                <w:sz w:val="19"/>
              </w:rPr>
            </w:pPr>
            <w:r>
              <w:rPr>
                <w:rFonts w:ascii="Trade Gothic;sans-serif" w:hAnsi="Trade Gothic;sans-serif"/>
                <w:b w:val="false"/>
                <w:color w:val="000000"/>
                <w:sz w:val="19"/>
              </w:rPr>
              <w:t>6,151,611 </w:t>
            </w:r>
          </w:p>
        </w:tc>
        <w:tc>
          <w:tcPr>
            <w:tcW w:w="6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rade Gothic;sans-serif" w:hAnsi="Trade Gothic;sans-serif"/>
                <w:b w:val="false"/>
                <w:color w:val="000000"/>
                <w:sz w:val="19"/>
              </w:rPr>
            </w:pPr>
            <w:r>
              <w:rPr>
                <w:rFonts w:ascii="Trade Gothic;sans-serif" w:hAnsi="Trade Gothic;sans-serif"/>
                <w:b w:val="false"/>
                <w:color w:val="000000"/>
                <w:sz w:val="19"/>
              </w:rPr>
              <w:t>4,848,389 </w:t>
            </w:r>
          </w:p>
        </w:tc>
        <w:tc>
          <w:tcPr>
            <w:tcW w:w="10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7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rade Gothic;sans-serif" w:hAnsi="Trade Gothic;sans-serif"/>
                <w:b w:val="false"/>
                <w:color w:val="000000"/>
                <w:sz w:val="19"/>
              </w:rPr>
              <w:t>Entities affiliated with Montanova Capital</w:t>
            </w:r>
            <w:r>
              <w:rPr>
                <w:rFonts w:ascii="Trade Gothic;sans-serif" w:hAnsi="Trade Gothic;sans-serif"/>
                <w:b w:val="false"/>
                <w:color w:val="000000"/>
                <w:sz w:val="12"/>
              </w:rPr>
              <w:t>(3)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rade Gothic;sans-serif" w:hAnsi="Trade Gothic;sans-serif"/>
                <w:b w:val="false"/>
                <w:color w:val="000000"/>
                <w:sz w:val="19"/>
              </w:rPr>
            </w:pPr>
            <w:r>
              <w:rPr>
                <w:rFonts w:ascii="Trade Gothic;sans-serif" w:hAnsi="Trade Gothic;sans-serif"/>
                <w:b w:val="false"/>
                <w:color w:val="000000"/>
                <w:sz w:val="19"/>
              </w:rPr>
              <w:t>8,299,443 </w:t>
            </w:r>
          </w:p>
        </w:tc>
        <w:tc>
          <w:tcPr>
            <w:tcW w:w="4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rade Gothic;sans-serif" w:hAnsi="Trade Gothic;sans-serif"/>
                <w:b w:val="false"/>
                <w:color w:val="000000"/>
                <w:sz w:val="19"/>
              </w:rPr>
            </w:pPr>
            <w:r>
              <w:rPr>
                <w:rFonts w:ascii="Trade Gothic;sans-serif" w:hAnsi="Trade Gothic;sans-serif"/>
                <w:b w:val="false"/>
                <w:color w:val="000000"/>
                <w:sz w:val="19"/>
              </w:rPr>
              <w:t>9,999,999 </w:t>
            </w:r>
          </w:p>
        </w:tc>
        <w:tc>
          <w:tcPr>
            <w:tcW w:w="6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7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rade Gothic;sans-serif" w:hAnsi="Trade Gothic;sans-serif"/>
                <w:b w:val="false"/>
                <w:color w:val="000000"/>
                <w:sz w:val="19"/>
              </w:rPr>
            </w:pPr>
            <w:r>
              <w:rPr>
                <w:rFonts w:ascii="Trade Gothic;sans-serif" w:hAnsi="Trade Gothic;sans-serif"/>
                <w:b w:val="false"/>
                <w:color w:val="000000"/>
                <w:sz w:val="19"/>
              </w:rPr>
              <w:t xml:space="preserve">Citadel Multi-Strategy Equities (Surveyor)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rade Gothic;sans-serif" w:hAnsi="Trade Gothic;sans-serif"/>
                <w:b w:val="false"/>
                <w:color w:val="000000"/>
                <w:sz w:val="19"/>
              </w:rPr>
            </w:pPr>
            <w:r>
              <w:rPr>
                <w:rFonts w:ascii="Trade Gothic;sans-serif" w:hAnsi="Trade Gothic;sans-serif"/>
                <w:b w:val="false"/>
                <w:color w:val="000000"/>
                <w:sz w:val="19"/>
              </w:rPr>
              <w:t>6,224,582 </w:t>
            </w:r>
          </w:p>
        </w:tc>
        <w:tc>
          <w:tcPr>
            <w:tcW w:w="4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rade Gothic;sans-serif" w:hAnsi="Trade Gothic;sans-serif"/>
                <w:b w:val="false"/>
                <w:color w:val="000000"/>
                <w:sz w:val="19"/>
              </w:rPr>
            </w:pPr>
            <w:r>
              <w:rPr>
                <w:rFonts w:ascii="Trade Gothic;sans-serif" w:hAnsi="Trade Gothic;sans-serif"/>
                <w:b w:val="false"/>
                <w:color w:val="000000"/>
                <w:sz w:val="19"/>
              </w:rPr>
              <w:t>7,499,999 </w:t>
            </w:r>
          </w:p>
        </w:tc>
        <w:tc>
          <w:tcPr>
            <w:tcW w:w="6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7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rade Gothic;sans-serif" w:hAnsi="Trade Gothic;sans-serif"/>
                <w:b w:val="false"/>
                <w:color w:val="000000"/>
                <w:sz w:val="19"/>
              </w:rPr>
            </w:pPr>
            <w:r>
              <w:rPr>
                <w:rFonts w:ascii="Trade Gothic;sans-serif" w:hAnsi="Trade Gothic;sans-serif"/>
                <w:b w:val="false"/>
                <w:color w:val="000000"/>
                <w:sz w:val="19"/>
              </w:rPr>
              <w:t>Therapeutics, Inc.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rade Gothic;sans-serif" w:hAnsi="Trade Gothic;sans-serif"/>
                <w:b w:val="false"/>
                <w:color w:val="000000"/>
                <w:sz w:val="19"/>
              </w:rPr>
            </w:pPr>
            <w:r>
              <w:rPr>
                <w:rFonts w:ascii="Trade Gothic;sans-serif" w:hAnsi="Trade Gothic;sans-serif"/>
                <w:b w:val="false"/>
                <w:color w:val="000000"/>
                <w:sz w:val="19"/>
              </w:rPr>
              <w:t>3,533,209 </w:t>
            </w:r>
          </w:p>
        </w:tc>
        <w:tc>
          <w:tcPr>
            <w:tcW w:w="4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rade Gothic;sans-serif" w:hAnsi="Trade Gothic;sans-serif"/>
                <w:b w:val="false"/>
                <w:color w:val="000000"/>
                <w:sz w:val="19"/>
              </w:rPr>
            </w:pPr>
            <w:r>
              <w:rPr>
                <w:rFonts w:ascii="Trade Gothic;sans-serif" w:hAnsi="Trade Gothic;sans-serif"/>
                <w:b w:val="false"/>
                <w:color w:val="000000"/>
                <w:sz w:val="19"/>
              </w:rPr>
              <w:t>3,032,917 </w:t>
            </w:r>
          </w:p>
        </w:tc>
        <w:tc>
          <w:tcPr>
            <w:tcW w:w="6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rade Gothic;sans-serif" w:hAnsi="Trade Gothic;sans-serif"/>
                <w:b w:val="false"/>
                <w:color w:val="000000"/>
                <w:sz w:val="19"/>
              </w:rPr>
            </w:pPr>
            <w:r>
              <w:rPr>
                <w:rFonts w:ascii="Trade Gothic;sans-serif" w:hAnsi="Trade Gothic;sans-serif"/>
                <w:b w:val="false"/>
                <w:color w:val="000000"/>
                <w:sz w:val="19"/>
              </w:rPr>
              <w:t>1,224,246 </w:t>
            </w:r>
          </w:p>
        </w:tc>
        <w:tc>
          <w:tcPr>
            <w:tcW w:w="10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7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rade Gothic;sans-serif" w:hAnsi="Trade Gothic;sans-serif"/>
                <w:b w:val="false"/>
                <w:color w:val="000000"/>
                <w:sz w:val="19"/>
              </w:rPr>
            </w:pPr>
            <w:r>
              <w:rPr>
                <w:rFonts w:ascii="Trade Gothic;sans-serif" w:hAnsi="Trade Gothic;sans-serif"/>
                <w:b w:val="false"/>
                <w:color w:val="000000"/>
                <w:sz w:val="19"/>
              </w:rPr>
              <w:t>Connecticut Innovations, Incorporated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rade Gothic;sans-serif" w:hAnsi="Trade Gothic;sans-serif"/>
                <w:b w:val="false"/>
                <w:color w:val="000000"/>
                <w:sz w:val="19"/>
              </w:rPr>
            </w:pPr>
            <w:r>
              <w:rPr>
                <w:rFonts w:ascii="Trade Gothic;sans-serif" w:hAnsi="Trade Gothic;sans-serif"/>
                <w:b w:val="false"/>
                <w:color w:val="000000"/>
                <w:sz w:val="19"/>
              </w:rPr>
              <w:t>7,413,807 </w:t>
            </w:r>
          </w:p>
        </w:tc>
        <w:tc>
          <w:tcPr>
            <w:tcW w:w="4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rade Gothic;sans-serif" w:hAnsi="Trade Gothic;sans-serif"/>
                <w:b w:val="false"/>
                <w:color w:val="000000"/>
                <w:sz w:val="19"/>
              </w:rPr>
            </w:pPr>
            <w:r>
              <w:rPr>
                <w:rFonts w:ascii="Trade Gothic;sans-serif" w:hAnsi="Trade Gothic;sans-serif"/>
                <w:b w:val="false"/>
                <w:color w:val="000000"/>
                <w:sz w:val="19"/>
              </w:rPr>
              <w:t>8,932,896 </w:t>
            </w:r>
          </w:p>
        </w:tc>
        <w:tc>
          <w:tcPr>
            <w:tcW w:w="6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7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rade Gothic;sans-serif" w:hAnsi="Trade Gothic;sans-serif"/>
                <w:b w:val="false"/>
                <w:color w:val="000000"/>
                <w:sz w:val="19"/>
              </w:rPr>
              <w:t>Trusts affiliated with Vladimir Coric</w:t>
            </w:r>
            <w:r>
              <w:rPr>
                <w:rFonts w:ascii="Trade Gothic;sans-serif" w:hAnsi="Trade Gothic;sans-serif"/>
                <w:b w:val="false"/>
                <w:color w:val="000000"/>
                <w:sz w:val="12"/>
              </w:rPr>
              <w:t>(4)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rade Gothic;sans-serif" w:hAnsi="Trade Gothic;sans-serif"/>
                <w:b w:val="false"/>
                <w:color w:val="000000"/>
                <w:sz w:val="19"/>
              </w:rPr>
            </w:pPr>
            <w:r>
              <w:rPr>
                <w:rFonts w:ascii="Trade Gothic;sans-serif" w:hAnsi="Trade Gothic;sans-serif"/>
                <w:b w:val="false"/>
                <w:color w:val="000000"/>
                <w:sz w:val="19"/>
              </w:rPr>
              <w:t>2,995,836 </w:t>
            </w:r>
          </w:p>
        </w:tc>
        <w:tc>
          <w:tcPr>
            <w:tcW w:w="4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rade Gothic;sans-serif" w:hAnsi="Trade Gothic;sans-serif"/>
                <w:b w:val="false"/>
                <w:color w:val="000000"/>
                <w:sz w:val="19"/>
              </w:rPr>
            </w:pPr>
            <w:r>
              <w:rPr>
                <w:rFonts w:ascii="Trade Gothic;sans-serif" w:hAnsi="Trade Gothic;sans-serif"/>
                <w:b w:val="false"/>
                <w:color w:val="000000"/>
                <w:sz w:val="19"/>
              </w:rPr>
              <w:t>2,748,006 </w:t>
            </w:r>
          </w:p>
        </w:tc>
        <w:tc>
          <w:tcPr>
            <w:tcW w:w="6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rade Gothic;sans-serif" w:hAnsi="Trade Gothic;sans-serif"/>
                <w:b w:val="false"/>
                <w:color w:val="000000"/>
                <w:sz w:val="19"/>
              </w:rPr>
            </w:pPr>
            <w:r>
              <w:rPr>
                <w:rFonts w:ascii="Trade Gothic;sans-serif" w:hAnsi="Trade Gothic;sans-serif"/>
                <w:b w:val="false"/>
                <w:color w:val="000000"/>
                <w:sz w:val="19"/>
              </w:rPr>
              <w:t>861,677 </w:t>
            </w:r>
          </w:p>
        </w:tc>
        <w:tc>
          <w:tcPr>
            <w:tcW w:w="10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7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rade Gothic;sans-serif" w:hAnsi="Trade Gothic;sans-serif"/>
                <w:b w:val="false"/>
                <w:color w:val="000000"/>
                <w:sz w:val="19"/>
              </w:rPr>
            </w:pPr>
            <w:r>
              <w:rPr>
                <w:rFonts w:ascii="Trade Gothic;sans-serif" w:hAnsi="Trade Gothic;sans-serif"/>
                <w:b w:val="false"/>
                <w:color w:val="000000"/>
                <w:sz w:val="19"/>
              </w:rPr>
              <w:t>Christopher S. Eklund Trust U/A/D 8/31/2000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rade Gothic;sans-serif" w:hAnsi="Trade Gothic;sans-serif"/>
                <w:b w:val="false"/>
                <w:color w:val="000000"/>
                <w:sz w:val="19"/>
              </w:rPr>
            </w:pPr>
            <w:r>
              <w:rPr>
                <w:rFonts w:ascii="Trade Gothic;sans-serif" w:hAnsi="Trade Gothic;sans-serif"/>
                <w:b w:val="false"/>
                <w:color w:val="000000"/>
                <w:sz w:val="19"/>
              </w:rPr>
              <w:t>1,872,561 </w:t>
            </w:r>
          </w:p>
        </w:tc>
        <w:tc>
          <w:tcPr>
            <w:tcW w:w="4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rade Gothic;sans-serif" w:hAnsi="Trade Gothic;sans-serif"/>
                <w:b w:val="false"/>
                <w:color w:val="000000"/>
                <w:sz w:val="19"/>
              </w:rPr>
            </w:pPr>
            <w:r>
              <w:rPr>
                <w:rFonts w:ascii="Trade Gothic;sans-serif" w:hAnsi="Trade Gothic;sans-serif"/>
                <w:b w:val="false"/>
                <w:color w:val="000000"/>
                <w:sz w:val="19"/>
              </w:rPr>
              <w:t>1,117,551 </w:t>
            </w:r>
          </w:p>
        </w:tc>
        <w:tc>
          <w:tcPr>
            <w:tcW w:w="6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rade Gothic;sans-serif" w:hAnsi="Trade Gothic;sans-serif"/>
                <w:b w:val="false"/>
                <w:color w:val="000000"/>
                <w:sz w:val="19"/>
              </w:rPr>
            </w:pPr>
            <w:r>
              <w:rPr>
                <w:rFonts w:ascii="Trade Gothic;sans-serif" w:hAnsi="Trade Gothic;sans-serif"/>
                <w:b w:val="false"/>
                <w:color w:val="000000"/>
                <w:sz w:val="19"/>
              </w:rPr>
              <w:t>1,138,698 </w:t>
            </w:r>
          </w:p>
        </w:tc>
        <w:tc>
          <w:tcPr>
            <w:tcW w:w="10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7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rade Gothic;sans-serif" w:hAnsi="Trade Gothic;sans-serif"/>
                <w:b w:val="false"/>
                <w:color w:val="000000"/>
                <w:sz w:val="19"/>
              </w:rPr>
            </w:pPr>
            <w:r>
              <w:rPr>
                <w:rFonts w:ascii="Trade Gothic;sans-serif" w:hAnsi="Trade Gothic;sans-serif"/>
                <w:b w:val="false"/>
                <w:color w:val="000000"/>
                <w:sz w:val="19"/>
              </w:rPr>
              <w:t>Entities affiliated with ChemWerth, Inc.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rade Gothic;sans-serif" w:hAnsi="Trade Gothic;sans-serif"/>
                <w:b w:val="false"/>
                <w:color w:val="000000"/>
                <w:sz w:val="19"/>
              </w:rPr>
            </w:pPr>
            <w:r>
              <w:rPr>
                <w:rFonts w:ascii="Trade Gothic;sans-serif" w:hAnsi="Trade Gothic;sans-serif"/>
                <w:b w:val="false"/>
                <w:color w:val="000000"/>
                <w:sz w:val="19"/>
              </w:rPr>
              <w:t>873,308 </w:t>
            </w:r>
          </w:p>
        </w:tc>
        <w:tc>
          <w:tcPr>
            <w:tcW w:w="4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6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rade Gothic;sans-serif" w:hAnsi="Trade Gothic;sans-serif"/>
                <w:b w:val="false"/>
                <w:color w:val="000000"/>
                <w:sz w:val="19"/>
              </w:rPr>
            </w:pPr>
            <w:r>
              <w:rPr>
                <w:rFonts w:ascii="Trade Gothic;sans-serif" w:hAnsi="Trade Gothic;sans-serif"/>
                <w:b w:val="false"/>
                <w:color w:val="000000"/>
                <w:sz w:val="19"/>
              </w:rPr>
              <w:t>1,052,250 </w:t>
            </w:r>
          </w:p>
        </w:tc>
        <w:tc>
          <w:tcPr>
            <w:tcW w:w="10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70"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935"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291"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828"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360"/>
        <w:jc w:val="left"/>
        <w:rPr>
          <w:rFonts w:ascii="Trade Gothic;sans-serif" w:hAnsi="Trade Gothic;sans-serif"/>
          <w:b w:val="false"/>
          <w:color w:val="000000"/>
          <w:sz w:val="16"/>
        </w:rPr>
      </w:pPr>
      <w:r>
        <w:rPr>
          <w:rFonts w:ascii="Trade Gothic;sans-serif" w:hAnsi="Trade Gothic;sans-serif"/>
          <w:b w:val="false"/>
          <w:color w:val="000000"/>
          <w:sz w:val="16"/>
        </w:rPr>
        <w:t>(1)Mr. Enright, a member of our board of directors, is co-founder and serves as a Managing Director of Longitude Capital Management Co., LLC, an entity affiliated with Longitude Venture Partners V, L.P, or LVPV. LVPV beneficially owns more than 5% of our capital stock.</w:t>
      </w:r>
    </w:p>
    <w:p>
      <w:pPr>
        <w:pStyle w:val="TextBody"/>
        <w:bidi w:val="0"/>
        <w:spacing w:lineRule="auto" w:line="288" w:before="0" w:after="0"/>
        <w:ind w:left="0" w:right="0" w:hanging="360"/>
        <w:jc w:val="left"/>
        <w:rPr>
          <w:rFonts w:ascii="Trade Gothic;sans-serif" w:hAnsi="Trade Gothic;sans-serif"/>
          <w:b w:val="false"/>
          <w:color w:val="000000"/>
          <w:sz w:val="16"/>
        </w:rPr>
      </w:pPr>
      <w:r>
        <w:rPr>
          <w:rFonts w:ascii="Trade Gothic;sans-serif" w:hAnsi="Trade Gothic;sans-serif"/>
          <w:b w:val="false"/>
          <w:color w:val="000000"/>
          <w:sz w:val="16"/>
        </w:rPr>
        <w:t>(2)Mr. Childs, a member of our board of directors, serves as Chairman of J.W. Childs Associates, L.P. Entities related to J.W. Childs Associates beneficially own more than 5% of our capital stock.</w:t>
      </w:r>
    </w:p>
    <w:p>
      <w:pPr>
        <w:pStyle w:val="TextBody"/>
        <w:bidi w:val="0"/>
        <w:spacing w:lineRule="auto" w:line="288" w:before="0" w:after="0"/>
        <w:ind w:left="0" w:right="0" w:hanging="360"/>
        <w:jc w:val="left"/>
        <w:rPr>
          <w:rFonts w:ascii="Trade Gothic;sans-serif" w:hAnsi="Trade Gothic;sans-serif"/>
          <w:b w:val="false"/>
          <w:color w:val="000000"/>
          <w:sz w:val="16"/>
        </w:rPr>
      </w:pPr>
      <w:r>
        <w:rPr>
          <w:rFonts w:ascii="Trade Gothic;sans-serif" w:hAnsi="Trade Gothic;sans-serif"/>
          <w:b w:val="false"/>
          <w:color w:val="000000"/>
          <w:sz w:val="16"/>
        </w:rPr>
        <w:t>(3)Dr. Friedman, a member of our board of directors, serves as a Managing Director of Montanova Capital. Dr. Birdsey-Benson, a former member of our board of directors, serves as a Managing Director of Montanova Capital. Entities related to Montanova Capital beneficially own more than 5% of our capital stock.</w:t>
      </w:r>
    </w:p>
    <w:p>
      <w:pPr>
        <w:pStyle w:val="TextBody"/>
        <w:bidi w:val="0"/>
        <w:spacing w:lineRule="auto" w:line="288" w:before="0" w:after="240"/>
        <w:ind w:left="0" w:right="0" w:hanging="360"/>
        <w:jc w:val="left"/>
        <w:rPr>
          <w:rFonts w:ascii="Trade Gothic;sans-serif" w:hAnsi="Trade Gothic;sans-serif"/>
          <w:b w:val="false"/>
          <w:color w:val="000000"/>
          <w:sz w:val="16"/>
        </w:rPr>
      </w:pPr>
      <w:r>
        <w:rPr>
          <w:rFonts w:ascii="Trade Gothic;sans-serif" w:hAnsi="Trade Gothic;sans-serif"/>
          <w:b w:val="false"/>
          <w:color w:val="000000"/>
          <w:sz w:val="16"/>
        </w:rPr>
        <w:t>(4)Dr. Coric, a member of our board of directors, is a beneficiary of the Vladimir Coric Family Trust 2013 and the Vladimir Coric Marital Trust 2013, each of which is administered by Elizabeth Ann Coric as trustee. Trusts affiliated with Vladimir Coric beneficially own more than 5% of our capital stock.</w:t>
      </w:r>
    </w:p>
    <w:p>
      <w:pPr>
        <w:pStyle w:val="TextBody"/>
        <w:bidi w:val="0"/>
        <w:spacing w:lineRule="auto" w:line="288" w:before="80" w:after="40"/>
        <w:jc w:val="left"/>
        <w:rPr>
          <w:rFonts w:ascii="Trade Gothic;sans-serif" w:hAnsi="Trade Gothic;sans-serif"/>
          <w:b/>
          <w:i/>
          <w:color w:val="000000"/>
          <w:sz w:val="20"/>
        </w:rPr>
      </w:pPr>
      <w:r>
        <w:rPr>
          <w:rFonts w:ascii="Trade Gothic;sans-serif" w:hAnsi="Trade Gothic;sans-serif"/>
          <w:b/>
          <w:i/>
          <w:color w:val="000000"/>
          <w:sz w:val="20"/>
        </w:rPr>
        <w:t>Series C Preferred Stock</w:t>
      </w:r>
    </w:p>
    <w:p>
      <w:pPr>
        <w:pStyle w:val="TextBody"/>
        <w:bidi w:val="0"/>
        <w:spacing w:lineRule="auto" w:line="288" w:before="0" w:after="240"/>
        <w:jc w:val="left"/>
        <w:rPr>
          <w:rFonts w:ascii="Trade Gothic;sans-serif" w:hAnsi="Trade Gothic;sans-serif"/>
          <w:b w:val="false"/>
          <w:color w:val="000000"/>
          <w:sz w:val="20"/>
        </w:rPr>
      </w:pPr>
      <w:r>
        <w:rPr>
          <w:rFonts w:ascii="Trade Gothic;sans-serif" w:hAnsi="Trade Gothic;sans-serif"/>
          <w:b w:val="false"/>
          <w:color w:val="000000"/>
          <w:sz w:val="20"/>
        </w:rPr>
        <w:t xml:space="preserve">In October 2025, we entered into a Series C Preferred Stock Purchase Agreement pursuant to which we issued an aggregate of 118,682,683 shares of our Series C Preferred Stock at a purchase price of $1.2723 per share. Each share of our Series C Preferred Stock converted into shares of our common stock immediately prior to the consummation of our IPO, including adjustments in connection with the 1-for-10.067 reverse stock split of our common stock, which was effected on January 27, 2026. The following table summarizes the Series C Preferred Stock issued to our directors, executive officers and beneficial holders of more than 5% of our capital stock: </w:t>
      </w:r>
    </w:p>
    <w:tbl>
      <w:tblPr>
        <w:tblW w:w="10205" w:type="dxa"/>
        <w:jc w:val="left"/>
        <w:tblInd w:w="0" w:type="dxa"/>
        <w:tblLayout w:type="fixed"/>
        <w:tblCellMar>
          <w:top w:w="28" w:type="dxa"/>
          <w:left w:w="28" w:type="dxa"/>
          <w:bottom w:w="28" w:type="dxa"/>
          <w:right w:w="28" w:type="dxa"/>
        </w:tblCellMar>
      </w:tblPr>
      <w:tblGrid>
        <w:gridCol w:w="1326"/>
        <w:gridCol w:w="1013"/>
        <w:gridCol w:w="1026"/>
        <w:gridCol w:w="109"/>
        <w:gridCol w:w="109"/>
        <w:gridCol w:w="109"/>
        <w:gridCol w:w="1028"/>
        <w:gridCol w:w="783"/>
        <w:gridCol w:w="785"/>
        <w:gridCol w:w="109"/>
        <w:gridCol w:w="109"/>
        <w:gridCol w:w="109"/>
        <w:gridCol w:w="1216"/>
        <w:gridCol w:w="978"/>
        <w:gridCol w:w="1396"/>
      </w:tblGrid>
      <w:tr>
        <w:trPr/>
        <w:tc>
          <w:tcPr>
            <w:tcW w:w="1326" w:type="dxa"/>
            <w:tcBorders/>
            <w:vAlign w:val="center"/>
          </w:tcPr>
          <w:p>
            <w:pPr>
              <w:pStyle w:val="TableContents"/>
              <w:bidi w:val="0"/>
              <w:spacing w:before="0" w:after="283"/>
              <w:jc w:val="left"/>
              <w:rPr>
                <w:sz w:val="4"/>
                <w:szCs w:val="4"/>
              </w:rPr>
            </w:pPr>
            <w:r>
              <w:rPr>
                <w:sz w:val="4"/>
                <w:szCs w:val="4"/>
              </w:rPr>
            </w:r>
          </w:p>
        </w:tc>
        <w:tc>
          <w:tcPr>
            <w:tcW w:w="1013" w:type="dxa"/>
            <w:tcBorders/>
            <w:vAlign w:val="center"/>
          </w:tcPr>
          <w:p>
            <w:pPr>
              <w:pStyle w:val="TableContents"/>
              <w:bidi w:val="0"/>
              <w:spacing w:before="0" w:after="283"/>
              <w:jc w:val="left"/>
              <w:rPr>
                <w:sz w:val="4"/>
                <w:szCs w:val="4"/>
              </w:rPr>
            </w:pPr>
            <w:r>
              <w:rPr>
                <w:sz w:val="4"/>
                <w:szCs w:val="4"/>
              </w:rPr>
            </w:r>
          </w:p>
        </w:tc>
        <w:tc>
          <w:tcPr>
            <w:tcW w:w="10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28" w:type="dxa"/>
            <w:tcBorders/>
            <w:vAlign w:val="center"/>
          </w:tcPr>
          <w:p>
            <w:pPr>
              <w:pStyle w:val="TableContents"/>
              <w:bidi w:val="0"/>
              <w:spacing w:before="0" w:after="283"/>
              <w:jc w:val="left"/>
              <w:rPr>
                <w:sz w:val="4"/>
                <w:szCs w:val="4"/>
              </w:rPr>
            </w:pPr>
            <w:r>
              <w:rPr>
                <w:sz w:val="4"/>
                <w:szCs w:val="4"/>
              </w:rPr>
            </w:r>
          </w:p>
        </w:tc>
        <w:tc>
          <w:tcPr>
            <w:tcW w:w="783" w:type="dxa"/>
            <w:tcBorders/>
            <w:vAlign w:val="center"/>
          </w:tcPr>
          <w:p>
            <w:pPr>
              <w:pStyle w:val="TableContents"/>
              <w:bidi w:val="0"/>
              <w:spacing w:before="0" w:after="283"/>
              <w:jc w:val="left"/>
              <w:rPr>
                <w:sz w:val="4"/>
                <w:szCs w:val="4"/>
              </w:rPr>
            </w:pPr>
            <w:r>
              <w:rPr>
                <w:sz w:val="4"/>
                <w:szCs w:val="4"/>
              </w:rPr>
            </w:r>
          </w:p>
        </w:tc>
        <w:tc>
          <w:tcPr>
            <w:tcW w:w="78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16" w:type="dxa"/>
            <w:tcBorders/>
            <w:vAlign w:val="center"/>
          </w:tcPr>
          <w:p>
            <w:pPr>
              <w:pStyle w:val="TableContents"/>
              <w:bidi w:val="0"/>
              <w:spacing w:before="0" w:after="283"/>
              <w:jc w:val="left"/>
              <w:rPr>
                <w:sz w:val="4"/>
                <w:szCs w:val="4"/>
              </w:rPr>
            </w:pPr>
            <w:r>
              <w:rPr>
                <w:sz w:val="4"/>
                <w:szCs w:val="4"/>
              </w:rPr>
            </w:r>
          </w:p>
        </w:tc>
        <w:tc>
          <w:tcPr>
            <w:tcW w:w="978" w:type="dxa"/>
            <w:tcBorders/>
            <w:vAlign w:val="center"/>
          </w:tcPr>
          <w:p>
            <w:pPr>
              <w:pStyle w:val="TableContents"/>
              <w:bidi w:val="0"/>
              <w:spacing w:before="0" w:after="283"/>
              <w:jc w:val="left"/>
              <w:rPr>
                <w:sz w:val="4"/>
                <w:szCs w:val="4"/>
              </w:rPr>
            </w:pPr>
            <w:r>
              <w:rPr>
                <w:sz w:val="4"/>
                <w:szCs w:val="4"/>
              </w:rPr>
            </w:r>
          </w:p>
        </w:tc>
        <w:tc>
          <w:tcPr>
            <w:tcW w:w="1396" w:type="dxa"/>
            <w:tcBorders/>
            <w:vAlign w:val="center"/>
          </w:tcPr>
          <w:p>
            <w:pPr>
              <w:pStyle w:val="TableContents"/>
              <w:bidi w:val="0"/>
              <w:spacing w:before="0" w:after="283"/>
              <w:jc w:val="left"/>
              <w:rPr>
                <w:sz w:val="4"/>
                <w:szCs w:val="4"/>
              </w:rPr>
            </w:pPr>
            <w:r>
              <w:rPr>
                <w:sz w:val="4"/>
                <w:szCs w:val="4"/>
              </w:rPr>
            </w:r>
          </w:p>
        </w:tc>
      </w:tr>
      <w:tr>
        <w:trPr/>
        <w:tc>
          <w:tcPr>
            <w:tcW w:w="336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left"/>
              <w:rPr>
                <w:rFonts w:ascii="Trade Gothic;sans-serif" w:hAnsi="Trade Gothic;sans-serif"/>
                <w:b/>
                <w:color w:val="000000"/>
                <w:sz w:val="16"/>
              </w:rPr>
            </w:pPr>
            <w:r>
              <w:rPr>
                <w:rFonts w:ascii="Trade Gothic;sans-serif" w:hAnsi="Trade Gothic;sans-serif"/>
                <w:b/>
                <w:color w:val="000000"/>
                <w:sz w:val="16"/>
              </w:rPr>
              <w:t>Purchaser</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rade Gothic;sans-serif" w:hAnsi="Trade Gothic;sans-serif"/>
                <w:b/>
                <w:color w:val="000000"/>
                <w:sz w:val="16"/>
              </w:rPr>
            </w:pPr>
            <w:r>
              <w:rPr>
                <w:rFonts w:ascii="Trade Gothic;sans-serif" w:hAnsi="Trade Gothic;sans-serif"/>
                <w:b/>
                <w:color w:val="000000"/>
                <w:sz w:val="16"/>
              </w:rPr>
              <w:t>Shares of Series C Preferred Stock</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9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rade Gothic;sans-serif" w:hAnsi="Trade Gothic;sans-serif"/>
                <w:b/>
                <w:color w:val="000000"/>
                <w:sz w:val="16"/>
              </w:rPr>
            </w:pPr>
            <w:r>
              <w:rPr>
                <w:rFonts w:ascii="Trade Gothic;sans-serif" w:hAnsi="Trade Gothic;sans-serif"/>
                <w:b/>
                <w:color w:val="000000"/>
                <w:sz w:val="16"/>
              </w:rPr>
              <w:t>Aggregate Purchase Price of Shares Purchased ($)</w:t>
            </w:r>
          </w:p>
        </w:tc>
      </w:tr>
      <w:tr>
        <w:trPr/>
        <w:tc>
          <w:tcPr>
            <w:tcW w:w="336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left"/>
              <w:rPr/>
            </w:pPr>
            <w:r>
              <w:rPr>
                <w:rFonts w:ascii="Trade Gothic;sans-serif" w:hAnsi="Trade Gothic;sans-serif"/>
                <w:b w:val="false"/>
                <w:color w:val="000000"/>
                <w:sz w:val="19"/>
              </w:rPr>
              <w:t>Entities affiliated with Longitude Capital</w:t>
            </w:r>
            <w:r>
              <w:rPr>
                <w:rFonts w:ascii="Trade Gothic;sans-serif" w:hAnsi="Trade Gothic;sans-serif"/>
                <w:b w:val="false"/>
                <w:color w:val="000000"/>
                <w:sz w:val="12"/>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rade Gothic;sans-serif" w:hAnsi="Trade Gothic;sans-serif"/>
                <w:b w:val="false"/>
                <w:color w:val="000000"/>
                <w:sz w:val="19"/>
              </w:rPr>
            </w:pPr>
            <w:r>
              <w:rPr>
                <w:rFonts w:ascii="Trade Gothic;sans-serif" w:hAnsi="Trade Gothic;sans-serif"/>
                <w:b w:val="false"/>
                <w:color w:val="000000"/>
                <w:sz w:val="19"/>
              </w:rPr>
              <w:t>23,579,344 </w:t>
            </w:r>
          </w:p>
        </w:tc>
        <w:tc>
          <w:tcPr>
            <w:tcW w:w="78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rade Gothic;sans-serif" w:hAnsi="Trade Gothic;sans-serif"/>
                <w:b w:val="false"/>
                <w:color w:val="000000"/>
                <w:sz w:val="19"/>
              </w:rPr>
            </w:pPr>
            <w:r>
              <w:rPr>
                <w:rFonts w:ascii="Trade Gothic;sans-serif" w:hAnsi="Trade Gothic;sans-serif"/>
                <w:b w:val="false"/>
                <w:color w:val="000000"/>
                <w:sz w:val="19"/>
              </w:rPr>
              <w:t>30,000,000 </w:t>
            </w:r>
          </w:p>
        </w:tc>
        <w:tc>
          <w:tcPr>
            <w:tcW w:w="139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6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rade Gothic;sans-serif" w:hAnsi="Trade Gothic;sans-serif"/>
                <w:b w:val="false"/>
                <w:color w:val="000000"/>
                <w:sz w:val="19"/>
              </w:rPr>
              <w:t>Entities affiliated with SR One</w:t>
            </w:r>
            <w:r>
              <w:rPr>
                <w:rFonts w:ascii="Trade Gothic;sans-serif" w:hAnsi="Trade Gothic;sans-serif"/>
                <w:b w:val="false"/>
                <w:color w:val="000000"/>
                <w:sz w:val="12"/>
              </w:rPr>
              <w:t>(2)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rade Gothic;sans-serif" w:hAnsi="Trade Gothic;sans-serif"/>
                <w:b w:val="false"/>
                <w:color w:val="000000"/>
                <w:sz w:val="19"/>
              </w:rPr>
            </w:pPr>
            <w:r>
              <w:rPr>
                <w:rFonts w:ascii="Trade Gothic;sans-serif" w:hAnsi="Trade Gothic;sans-serif"/>
                <w:b w:val="false"/>
                <w:color w:val="000000"/>
                <w:sz w:val="19"/>
              </w:rPr>
              <w:t>19,649,453 </w:t>
            </w:r>
          </w:p>
        </w:tc>
        <w:tc>
          <w:tcPr>
            <w:tcW w:w="7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rade Gothic;sans-serif" w:hAnsi="Trade Gothic;sans-serif"/>
                <w:b w:val="false"/>
                <w:color w:val="000000"/>
                <w:sz w:val="19"/>
              </w:rPr>
            </w:pPr>
            <w:r>
              <w:rPr>
                <w:rFonts w:ascii="Trade Gothic;sans-serif" w:hAnsi="Trade Gothic;sans-serif"/>
                <w:b w:val="false"/>
                <w:color w:val="000000"/>
                <w:sz w:val="19"/>
              </w:rPr>
              <w:t>24,999,999 </w:t>
            </w:r>
          </w:p>
        </w:tc>
        <w:tc>
          <w:tcPr>
            <w:tcW w:w="13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6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rade Gothic;sans-serif" w:hAnsi="Trade Gothic;sans-serif"/>
                <w:b w:val="false"/>
                <w:color w:val="000000"/>
                <w:sz w:val="19"/>
              </w:rPr>
            </w:pPr>
            <w:r>
              <w:rPr>
                <w:rFonts w:ascii="Trade Gothic;sans-serif" w:hAnsi="Trade Gothic;sans-serif"/>
                <w:b w:val="false"/>
                <w:color w:val="000000"/>
                <w:sz w:val="19"/>
              </w:rPr>
              <w:t>Entities affiliated with Viking Global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rade Gothic;sans-serif" w:hAnsi="Trade Gothic;sans-serif"/>
                <w:b w:val="false"/>
                <w:color w:val="000000"/>
                <w:sz w:val="19"/>
              </w:rPr>
            </w:pPr>
            <w:r>
              <w:rPr>
                <w:rFonts w:ascii="Trade Gothic;sans-serif" w:hAnsi="Trade Gothic;sans-serif"/>
                <w:b w:val="false"/>
                <w:color w:val="000000"/>
                <w:sz w:val="19"/>
              </w:rPr>
              <w:t>15,719,562 </w:t>
            </w:r>
          </w:p>
        </w:tc>
        <w:tc>
          <w:tcPr>
            <w:tcW w:w="7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rade Gothic;sans-serif" w:hAnsi="Trade Gothic;sans-serif"/>
                <w:b w:val="false"/>
                <w:color w:val="000000"/>
                <w:sz w:val="19"/>
              </w:rPr>
            </w:pPr>
            <w:r>
              <w:rPr>
                <w:rFonts w:ascii="Trade Gothic;sans-serif" w:hAnsi="Trade Gothic;sans-serif"/>
                <w:b w:val="false"/>
                <w:color w:val="000000"/>
                <w:sz w:val="19"/>
              </w:rPr>
              <w:t>19,999,999 </w:t>
            </w:r>
          </w:p>
        </w:tc>
        <w:tc>
          <w:tcPr>
            <w:tcW w:w="13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6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rade Gothic;sans-serif" w:hAnsi="Trade Gothic;sans-serif"/>
                <w:b w:val="false"/>
                <w:color w:val="000000"/>
                <w:sz w:val="19"/>
              </w:rPr>
              <w:t>Entities affiliated with Montanova Capital</w:t>
            </w:r>
            <w:r>
              <w:rPr>
                <w:rFonts w:ascii="Trade Gothic;sans-serif" w:hAnsi="Trade Gothic;sans-serif"/>
                <w:b w:val="false"/>
                <w:color w:val="000000"/>
                <w:sz w:val="12"/>
              </w:rPr>
              <w:t>(3)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rade Gothic;sans-serif" w:hAnsi="Trade Gothic;sans-serif"/>
                <w:b w:val="false"/>
                <w:color w:val="000000"/>
                <w:sz w:val="19"/>
              </w:rPr>
            </w:pPr>
            <w:r>
              <w:rPr>
                <w:rFonts w:ascii="Trade Gothic;sans-serif" w:hAnsi="Trade Gothic;sans-serif"/>
                <w:b w:val="false"/>
                <w:color w:val="000000"/>
                <w:sz w:val="19"/>
              </w:rPr>
              <w:t>9,431,736 </w:t>
            </w:r>
          </w:p>
        </w:tc>
        <w:tc>
          <w:tcPr>
            <w:tcW w:w="7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rade Gothic;sans-serif" w:hAnsi="Trade Gothic;sans-serif"/>
                <w:b w:val="false"/>
                <w:color w:val="000000"/>
                <w:sz w:val="19"/>
              </w:rPr>
            </w:pPr>
            <w:r>
              <w:rPr>
                <w:rFonts w:ascii="Trade Gothic;sans-serif" w:hAnsi="Trade Gothic;sans-serif"/>
                <w:b w:val="false"/>
                <w:color w:val="000000"/>
                <w:sz w:val="19"/>
              </w:rPr>
              <w:t>11,999,998 </w:t>
            </w:r>
          </w:p>
        </w:tc>
        <w:tc>
          <w:tcPr>
            <w:tcW w:w="13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6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rade Gothic;sans-serif" w:hAnsi="Trade Gothic;sans-serif"/>
                <w:b w:val="false"/>
                <w:color w:val="000000"/>
                <w:sz w:val="19"/>
              </w:rPr>
            </w:pPr>
            <w:r>
              <w:rPr>
                <w:rFonts w:ascii="Trade Gothic;sans-serif" w:hAnsi="Trade Gothic;sans-serif"/>
                <w:b w:val="false"/>
                <w:color w:val="000000"/>
                <w:sz w:val="19"/>
              </w:rPr>
              <w:t xml:space="preserve">Citadel Multi-Strategy Equities (Surveyor)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rade Gothic;sans-serif" w:hAnsi="Trade Gothic;sans-serif"/>
                <w:b w:val="false"/>
                <w:color w:val="000000"/>
                <w:sz w:val="19"/>
              </w:rPr>
            </w:pPr>
            <w:r>
              <w:rPr>
                <w:rFonts w:ascii="Trade Gothic;sans-serif" w:hAnsi="Trade Gothic;sans-serif"/>
                <w:b w:val="false"/>
                <w:color w:val="000000"/>
                <w:sz w:val="19"/>
              </w:rPr>
              <w:t>7,859,781 </w:t>
            </w:r>
          </w:p>
        </w:tc>
        <w:tc>
          <w:tcPr>
            <w:tcW w:w="7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rade Gothic;sans-serif" w:hAnsi="Trade Gothic;sans-serif"/>
                <w:b w:val="false"/>
                <w:color w:val="000000"/>
                <w:sz w:val="19"/>
              </w:rPr>
            </w:pPr>
            <w:r>
              <w:rPr>
                <w:rFonts w:ascii="Trade Gothic;sans-serif" w:hAnsi="Trade Gothic;sans-serif"/>
                <w:b w:val="false"/>
                <w:color w:val="000000"/>
                <w:sz w:val="19"/>
              </w:rPr>
              <w:t>9,999,999 </w:t>
            </w:r>
          </w:p>
        </w:tc>
        <w:tc>
          <w:tcPr>
            <w:tcW w:w="13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6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rade Gothic;sans-serif" w:hAnsi="Trade Gothic;sans-serif"/>
                <w:b w:val="false"/>
                <w:color w:val="000000"/>
                <w:sz w:val="19"/>
              </w:rPr>
              <w:t>Entities affiliated with J.W. Childs Associates</w:t>
            </w:r>
            <w:r>
              <w:rPr>
                <w:rFonts w:ascii="Trade Gothic;sans-serif" w:hAnsi="Trade Gothic;sans-serif"/>
                <w:b w:val="false"/>
                <w:color w:val="000000"/>
                <w:sz w:val="12"/>
              </w:rPr>
              <w:t>(4)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rade Gothic;sans-serif" w:hAnsi="Trade Gothic;sans-serif"/>
                <w:b w:val="false"/>
                <w:color w:val="000000"/>
                <w:sz w:val="19"/>
              </w:rPr>
            </w:pPr>
            <w:r>
              <w:rPr>
                <w:rFonts w:ascii="Trade Gothic;sans-serif" w:hAnsi="Trade Gothic;sans-serif"/>
                <w:b w:val="false"/>
                <w:color w:val="000000"/>
                <w:sz w:val="19"/>
              </w:rPr>
              <w:t>5,242,474 </w:t>
            </w:r>
          </w:p>
        </w:tc>
        <w:tc>
          <w:tcPr>
            <w:tcW w:w="7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rade Gothic;sans-serif" w:hAnsi="Trade Gothic;sans-serif"/>
                <w:b w:val="false"/>
                <w:color w:val="000000"/>
                <w:sz w:val="19"/>
              </w:rPr>
            </w:pPr>
            <w:r>
              <w:rPr>
                <w:rFonts w:ascii="Trade Gothic;sans-serif" w:hAnsi="Trade Gothic;sans-serif"/>
                <w:b w:val="false"/>
                <w:color w:val="000000"/>
                <w:sz w:val="19"/>
              </w:rPr>
              <w:t>6,670,000 </w:t>
            </w:r>
          </w:p>
        </w:tc>
        <w:tc>
          <w:tcPr>
            <w:tcW w:w="13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6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rade Gothic;sans-serif" w:hAnsi="Trade Gothic;sans-serif"/>
                <w:b w:val="false"/>
                <w:color w:val="000000"/>
                <w:sz w:val="19"/>
              </w:rPr>
              <w:t>Vladimir Coric</w:t>
            </w:r>
            <w:r>
              <w:rPr>
                <w:rFonts w:ascii="Trade Gothic;sans-serif" w:hAnsi="Trade Gothic;sans-serif"/>
                <w:b w:val="false"/>
                <w:color w:val="000000"/>
                <w:sz w:val="12"/>
              </w:rPr>
              <w:t>(5)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rade Gothic;sans-serif" w:hAnsi="Trade Gothic;sans-serif"/>
                <w:b w:val="false"/>
                <w:color w:val="000000"/>
                <w:sz w:val="19"/>
              </w:rPr>
            </w:pPr>
            <w:r>
              <w:rPr>
                <w:rFonts w:ascii="Trade Gothic;sans-serif" w:hAnsi="Trade Gothic;sans-serif"/>
                <w:b w:val="false"/>
                <w:color w:val="000000"/>
                <w:sz w:val="19"/>
              </w:rPr>
              <w:t>2,750,923 </w:t>
            </w:r>
          </w:p>
        </w:tc>
        <w:tc>
          <w:tcPr>
            <w:tcW w:w="7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rade Gothic;sans-serif" w:hAnsi="Trade Gothic;sans-serif"/>
                <w:b w:val="false"/>
                <w:color w:val="000000"/>
                <w:sz w:val="19"/>
              </w:rPr>
            </w:pPr>
            <w:r>
              <w:rPr>
                <w:rFonts w:ascii="Trade Gothic;sans-serif" w:hAnsi="Trade Gothic;sans-serif"/>
                <w:b w:val="false"/>
                <w:color w:val="000000"/>
                <w:sz w:val="19"/>
              </w:rPr>
              <w:t>3,499,999 </w:t>
            </w:r>
          </w:p>
        </w:tc>
        <w:tc>
          <w:tcPr>
            <w:tcW w:w="13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65"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596"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590"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360"/>
        <w:jc w:val="left"/>
        <w:rPr>
          <w:rFonts w:ascii="Trade Gothic;sans-serif" w:hAnsi="Trade Gothic;sans-serif"/>
          <w:b w:val="false"/>
          <w:color w:val="000000"/>
          <w:sz w:val="16"/>
        </w:rPr>
      </w:pPr>
      <w:r>
        <w:rPr>
          <w:rFonts w:ascii="Trade Gothic;sans-serif" w:hAnsi="Trade Gothic;sans-serif"/>
          <w:b w:val="false"/>
          <w:color w:val="000000"/>
          <w:sz w:val="16"/>
        </w:rPr>
        <w:t>(1)Mr. Enright, a member of our board of directors, is co-founder and serves as a Managing Director of Longitude Capital Management Co., LLC, an entity affiliated with LVPV and L103. LVPV and L103 collectively beneficially own more than 5% of our capital stock.</w:t>
      </w:r>
    </w:p>
    <w:p>
      <w:pPr>
        <w:pStyle w:val="TextBody"/>
        <w:bidi w:val="0"/>
        <w:spacing w:lineRule="auto" w:line="288"/>
        <w:ind w:left="0" w:right="0" w:hanging="360"/>
        <w:jc w:val="left"/>
        <w:rPr>
          <w:rFonts w:ascii="Trade Gothic;sans-serif" w:hAnsi="Trade Gothic;sans-serif"/>
          <w:b w:val="false"/>
          <w:color w:val="000000"/>
          <w:sz w:val="16"/>
        </w:rPr>
      </w:pPr>
      <w:r>
        <w:rPr>
          <w:rFonts w:ascii="Trade Gothic;sans-serif" w:hAnsi="Trade Gothic;sans-serif"/>
          <w:b w:val="false"/>
          <w:color w:val="000000"/>
          <w:sz w:val="16"/>
        </w:rPr>
        <w:t>(2)Dr. Pance, a member of our board of directors, serves as a Senior Associate at SR One Capital Management. Entities related to SR One beneficially own more than 5% of our capital stock.</w:t>
      </w:r>
    </w:p>
    <w:p>
      <w:pPr>
        <w:pStyle w:val="TextBody"/>
        <w:bidi w:val="0"/>
        <w:spacing w:before="0" w:after="0"/>
        <w:jc w:val="right"/>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140335"/>
                <wp:effectExtent l="0" t="0" r="0" b="0"/>
                <wp:wrapNone/>
                <wp:docPr id="14" name="Frame13"/>
                <a:graphic xmlns:a="http://schemas.openxmlformats.org/drawingml/2006/main">
                  <a:graphicData uri="http://schemas.microsoft.com/office/word/2010/wordprocessingShape">
                    <wps:wsp>
                      <wps:cNvSpPr txBox="1"/>
                      <wps:spPr>
                        <a:xfrm>
                          <a:off x="0" y="0"/>
                          <a:ext cx="6480175" cy="140335"/>
                        </a:xfrm>
                        <a:prstGeom prst="rect"/>
                        <a:solidFill>
                          <a:srgbClr val="FFFFFF"/>
                        </a:solidFill>
                      </wps:spPr>
                      <wps:txbx>
                        <w:txbxContent>
                          <w:p>
                            <w:pPr>
                              <w:pStyle w:val="TextBody"/>
                              <w:bidi w:val="0"/>
                              <w:spacing w:lineRule="auto" w:line="288" w:before="0" w:after="180"/>
                              <w:jc w:val="center"/>
                              <w:rPr>
                                <w:rFonts w:ascii="Trade Gothic;sans-serif" w:hAnsi="Trade Gothic;sans-serif"/>
                                <w:b w:val="false"/>
                                <w:color w:val="000000"/>
                                <w:sz w:val="19"/>
                              </w:rPr>
                            </w:pPr>
                            <w:r>
                              <w:rPr>
                                <w:rFonts w:ascii="Trade Gothic;sans-serif" w:hAnsi="Trade Gothic;sans-serif"/>
                                <w:b w:val="false"/>
                                <w:color w:val="000000"/>
                                <w:sz w:val="19"/>
                              </w:rPr>
                              <w:t>10</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0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180"/>
                        <w:jc w:val="center"/>
                        <w:rPr>
                          <w:rFonts w:ascii="Trade Gothic;sans-serif" w:hAnsi="Trade Gothic;sans-serif"/>
                          <w:b w:val="false"/>
                          <w:color w:val="000000"/>
                          <w:sz w:val="19"/>
                        </w:rPr>
                      </w:pPr>
                      <w:r>
                        <w:rPr>
                          <w:rFonts w:ascii="Trade Gothic;sans-serif" w:hAnsi="Trade Gothic;sans-serif"/>
                          <w:b w:val="false"/>
                          <w:color w:val="000000"/>
                          <w:sz w:val="19"/>
                        </w:rPr>
                        <w:t>10</w:t>
                      </w:r>
                    </w:p>
                  </w:txbxContent>
                </v:textbox>
                <w10:wrap type="none"/>
              </v:rect>
            </w:pict>
          </mc:Fallback>
        </mc:AlternateContent>
      </w:r>
    </w:p>
    <w:p>
      <w:pPr>
        <w:pStyle w:val="TextBody"/>
        <w:bidi w:val="0"/>
        <w:spacing w:lineRule="auto" w:line="288" w:before="0" w:after="0"/>
        <w:ind w:left="0" w:right="0" w:hanging="360"/>
        <w:jc w:val="left"/>
        <w:rPr>
          <w:rFonts w:ascii="Trade Gothic;sans-serif" w:hAnsi="Trade Gothic;sans-serif"/>
          <w:b w:val="false"/>
          <w:color w:val="000000"/>
          <w:sz w:val="16"/>
        </w:rPr>
      </w:pPr>
      <w:r>
        <w:rPr>
          <w:rFonts w:ascii="Trade Gothic;sans-serif" w:hAnsi="Trade Gothic;sans-serif"/>
          <w:b w:val="false"/>
          <w:color w:val="000000"/>
          <w:sz w:val="16"/>
        </w:rPr>
        <w:t>(3)Dr. Friedman, a member of our board of directors, serves as a Managing Director of Montanova Capital. Dr. Birdsey-Benson, a former member of our board of directors, serves as a Managing Director of Montanova Capital. Entities related to Montanova Capital beneficially own more than 5% of our capital stock.</w:t>
      </w:r>
    </w:p>
    <w:p>
      <w:pPr>
        <w:pStyle w:val="TextBody"/>
        <w:bidi w:val="0"/>
        <w:spacing w:lineRule="auto" w:line="288" w:before="0" w:after="0"/>
        <w:ind w:left="0" w:right="0" w:hanging="360"/>
        <w:jc w:val="left"/>
        <w:rPr>
          <w:rFonts w:ascii="Trade Gothic;sans-serif" w:hAnsi="Trade Gothic;sans-serif"/>
          <w:b w:val="false"/>
          <w:color w:val="000000"/>
          <w:sz w:val="16"/>
        </w:rPr>
      </w:pPr>
      <w:r>
        <w:rPr>
          <w:rFonts w:ascii="Trade Gothic;sans-serif" w:hAnsi="Trade Gothic;sans-serif"/>
          <w:b w:val="false"/>
          <w:color w:val="000000"/>
          <w:sz w:val="16"/>
        </w:rPr>
        <w:t>(4)Mr. Childs, a member of our board of directors, serves as Chairman of J.W. Childs Associates, L.P. Entities related to J.W. Childs Associates beneficially own more than 5% of our capital stock.</w:t>
      </w:r>
    </w:p>
    <w:p>
      <w:pPr>
        <w:pStyle w:val="TextBody"/>
        <w:bidi w:val="0"/>
        <w:spacing w:lineRule="auto" w:line="288" w:before="0" w:after="240"/>
        <w:ind w:left="0" w:right="0" w:hanging="360"/>
        <w:jc w:val="left"/>
        <w:rPr>
          <w:rFonts w:ascii="Trade Gothic;sans-serif" w:hAnsi="Trade Gothic;sans-serif"/>
          <w:b w:val="false"/>
          <w:color w:val="000000"/>
          <w:sz w:val="16"/>
        </w:rPr>
      </w:pPr>
      <w:r>
        <w:rPr>
          <w:rFonts w:ascii="Trade Gothic;sans-serif" w:hAnsi="Trade Gothic;sans-serif"/>
          <w:b w:val="false"/>
          <w:color w:val="000000"/>
          <w:sz w:val="16"/>
        </w:rPr>
        <w:t>(5)Dr. Coric, a member of our board of directors, is a beneficiary of the Vladimir Coric Family Trust 2013 and the Vladimir Coric Marital Trust 2013, each of which is administered by Elizabeth Ann Coric as trustee. Trusts affiliated with Vladimir Coric beneficially own more than 5% of our capital stock.</w:t>
      </w:r>
    </w:p>
    <w:p>
      <w:pPr>
        <w:pStyle w:val="TextBody"/>
        <w:bidi w:val="0"/>
        <w:spacing w:lineRule="auto" w:line="288" w:before="80" w:after="40"/>
        <w:jc w:val="left"/>
        <w:rPr>
          <w:rFonts w:ascii="Trade Gothic;sans-serif" w:hAnsi="Trade Gothic;sans-serif"/>
          <w:b/>
          <w:i/>
          <w:color w:val="000000"/>
          <w:sz w:val="20"/>
        </w:rPr>
      </w:pPr>
      <w:r>
        <w:rPr>
          <w:rFonts w:ascii="Trade Gothic;sans-serif" w:hAnsi="Trade Gothic;sans-serif"/>
          <w:b/>
          <w:i/>
          <w:color w:val="000000"/>
          <w:sz w:val="20"/>
        </w:rPr>
        <w:t>2026 Private Placement</w:t>
      </w:r>
    </w:p>
    <w:p>
      <w:pPr>
        <w:pStyle w:val="TextBody"/>
        <w:bidi w:val="0"/>
        <w:spacing w:lineRule="auto" w:line="288" w:before="0" w:after="240"/>
        <w:jc w:val="left"/>
        <w:rPr>
          <w:rFonts w:ascii="Trade Gothic;sans-serif" w:hAnsi="Trade Gothic;sans-serif"/>
          <w:b w:val="false"/>
          <w:color w:val="000000"/>
          <w:sz w:val="20"/>
        </w:rPr>
      </w:pPr>
      <w:r>
        <w:rPr>
          <w:rFonts w:ascii="Trade Gothic;sans-serif" w:hAnsi="Trade Gothic;sans-serif"/>
          <w:b w:val="false"/>
          <w:color w:val="000000"/>
          <w:sz w:val="20"/>
        </w:rPr>
        <w:t>In May 2026, we closed the Private Placement, pursuant to the Purchase Agreement, among us and the PIPE Investors, in which we sold to the PIPE Investors the Pre-Funded Warrants at an offering price of $99.99999 per Pre-Funded Warrant. The gross proceeds of the Private Placement were approximately $30.0 million, before deducting placement agent fees and other expenses. Dr. Friedman, a member of our board of directors, serves as a Managing Director of Montanova Capital. Dr. Birdsey-Benson, a former member of our board of directors, serves as a Managing Director of Montanova Capital. Entities related to Montanova Capital beneficially own more than 5% of our capital stock.</w:t>
      </w:r>
    </w:p>
    <w:p>
      <w:pPr>
        <w:pStyle w:val="TextBody"/>
        <w:bidi w:val="0"/>
        <w:spacing w:lineRule="auto" w:line="288" w:before="80" w:after="40"/>
        <w:jc w:val="left"/>
        <w:rPr>
          <w:rFonts w:ascii="Trade Gothic;sans-serif" w:hAnsi="Trade Gothic;sans-serif"/>
          <w:b/>
          <w:i/>
          <w:color w:val="000000"/>
          <w:sz w:val="20"/>
        </w:rPr>
      </w:pPr>
      <w:r>
        <w:rPr>
          <w:rFonts w:ascii="Trade Gothic;sans-serif" w:hAnsi="Trade Gothic;sans-serif"/>
          <w:b/>
          <w:i/>
          <w:color w:val="000000"/>
          <w:sz w:val="20"/>
        </w:rPr>
        <w:t>Investors’ Rights Agreement</w:t>
      </w:r>
    </w:p>
    <w:p>
      <w:pPr>
        <w:pStyle w:val="TextBody"/>
        <w:bidi w:val="0"/>
        <w:spacing w:lineRule="auto" w:line="288" w:before="0" w:after="240"/>
        <w:jc w:val="left"/>
        <w:rPr/>
      </w:pPr>
      <w:r>
        <w:rPr>
          <w:rFonts w:ascii="Trade Gothic;sans-serif" w:hAnsi="Trade Gothic;sans-serif"/>
          <w:b w:val="false"/>
          <w:color w:val="000000"/>
          <w:sz w:val="20"/>
        </w:rPr>
        <w:t>We are party to a Third Amended and Restated Investors’ Rights Agreement, or the Investors’ Rights Agreement, with pre-IPO stockholders. Pursuant to the terms of the Investors’ Rights Agreement, we granted these stockholders certain information rights and the right to participate in future stock issuances, which rights terminated upon the consummation of our IPO. The Investors’ Rights Agreement also grants these stockholders certain registration rights. See the section titled “</w:t>
      </w:r>
      <w:hyperlink w:anchor="i84c570089d0c41b7a6e7b01f182eda30_19">
        <w:r>
          <w:rPr>
            <w:rStyle w:val="InternetLink"/>
            <w:rFonts w:ascii="Trade Gothic;sans-serif" w:hAnsi="Trade Gothic;sans-serif"/>
            <w:b w:val="false"/>
            <w:color w:val="0000FF"/>
            <w:sz w:val="20"/>
            <w:u w:val="single"/>
          </w:rPr>
          <w:t>Description of Capital Stock-Registration Rights</w:t>
        </w:r>
      </w:hyperlink>
      <w:r>
        <w:rPr>
          <w:color w:val="000000"/>
        </w:rPr>
        <w:t xml:space="preserve">” </w:t>
      </w:r>
      <w:r>
        <w:rPr>
          <w:rFonts w:ascii="Trade Gothic;sans-serif" w:hAnsi="Trade Gothic;sans-serif"/>
          <w:b w:val="false"/>
          <w:color w:val="000000"/>
          <w:sz w:val="20"/>
        </w:rPr>
        <w:t>for additional information regarding these registration rights. Other provisions of the Investors’ Rights Agreement terminated upon the consummation of our IPO.</w:t>
      </w:r>
    </w:p>
    <w:p>
      <w:pPr>
        <w:pStyle w:val="TextBody"/>
        <w:bidi w:val="0"/>
        <w:spacing w:lineRule="auto" w:line="288" w:before="80" w:after="40"/>
        <w:jc w:val="left"/>
        <w:rPr>
          <w:rFonts w:ascii="Trade Gothic;sans-serif" w:hAnsi="Trade Gothic;sans-serif"/>
          <w:b/>
          <w:i/>
          <w:color w:val="000000"/>
          <w:sz w:val="20"/>
        </w:rPr>
      </w:pPr>
      <w:r>
        <w:rPr>
          <w:rFonts w:ascii="Trade Gothic;sans-serif" w:hAnsi="Trade Gothic;sans-serif"/>
          <w:b/>
          <w:i/>
          <w:color w:val="000000"/>
          <w:sz w:val="20"/>
        </w:rPr>
        <w:t>Director Affiliations</w:t>
      </w:r>
    </w:p>
    <w:p>
      <w:pPr>
        <w:pStyle w:val="TextBody"/>
        <w:bidi w:val="0"/>
        <w:spacing w:lineRule="auto" w:line="288" w:before="0" w:after="240"/>
        <w:jc w:val="left"/>
        <w:rPr>
          <w:rFonts w:ascii="Trade Gothic;sans-serif" w:hAnsi="Trade Gothic;sans-serif"/>
          <w:b w:val="false"/>
          <w:color w:val="000000"/>
          <w:sz w:val="20"/>
        </w:rPr>
      </w:pPr>
      <w:r>
        <w:rPr>
          <w:rFonts w:ascii="Trade Gothic;sans-serif" w:hAnsi="Trade Gothic;sans-serif"/>
          <w:b w:val="false"/>
          <w:color w:val="000000"/>
          <w:sz w:val="20"/>
        </w:rPr>
        <w:t>Some of our directors are affiliated with and have served on our board of directors as representatives of entities which beneficially own or owned 5% or more of our voting securities, as indicated in the table below:</w:t>
      </w:r>
    </w:p>
    <w:tbl>
      <w:tblPr>
        <w:tblW w:w="7107" w:type="dxa"/>
        <w:jc w:val="left"/>
        <w:tblInd w:w="0" w:type="dxa"/>
        <w:tblLayout w:type="fixed"/>
        <w:tblCellMar>
          <w:top w:w="28" w:type="dxa"/>
          <w:left w:w="28" w:type="dxa"/>
          <w:bottom w:w="28" w:type="dxa"/>
          <w:right w:w="28" w:type="dxa"/>
        </w:tblCellMar>
      </w:tblPr>
      <w:tblGrid>
        <w:gridCol w:w="824"/>
        <w:gridCol w:w="724"/>
        <w:gridCol w:w="732"/>
        <w:gridCol w:w="109"/>
        <w:gridCol w:w="109"/>
        <w:gridCol w:w="109"/>
        <w:gridCol w:w="1316"/>
        <w:gridCol w:w="1316"/>
        <w:gridCol w:w="1868"/>
      </w:tblGrid>
      <w:tr>
        <w:trPr/>
        <w:tc>
          <w:tcPr>
            <w:tcW w:w="824" w:type="dxa"/>
            <w:tcBorders/>
            <w:vAlign w:val="center"/>
          </w:tcPr>
          <w:p>
            <w:pPr>
              <w:pStyle w:val="TableContents"/>
              <w:bidi w:val="0"/>
              <w:spacing w:before="0" w:after="283"/>
              <w:jc w:val="left"/>
              <w:rPr>
                <w:sz w:val="4"/>
                <w:szCs w:val="4"/>
              </w:rPr>
            </w:pPr>
            <w:r>
              <w:rPr>
                <w:sz w:val="4"/>
                <w:szCs w:val="4"/>
              </w:rPr>
            </w:r>
          </w:p>
        </w:tc>
        <w:tc>
          <w:tcPr>
            <w:tcW w:w="724" w:type="dxa"/>
            <w:tcBorders/>
            <w:vAlign w:val="center"/>
          </w:tcPr>
          <w:p>
            <w:pPr>
              <w:pStyle w:val="TableContents"/>
              <w:bidi w:val="0"/>
              <w:spacing w:before="0" w:after="283"/>
              <w:jc w:val="left"/>
              <w:rPr>
                <w:sz w:val="4"/>
                <w:szCs w:val="4"/>
              </w:rPr>
            </w:pPr>
            <w:r>
              <w:rPr>
                <w:sz w:val="4"/>
                <w:szCs w:val="4"/>
              </w:rPr>
            </w:r>
          </w:p>
        </w:tc>
        <w:tc>
          <w:tcPr>
            <w:tcW w:w="7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16" w:type="dxa"/>
            <w:tcBorders/>
            <w:vAlign w:val="center"/>
          </w:tcPr>
          <w:p>
            <w:pPr>
              <w:pStyle w:val="TableContents"/>
              <w:bidi w:val="0"/>
              <w:spacing w:before="0" w:after="283"/>
              <w:jc w:val="left"/>
              <w:rPr>
                <w:sz w:val="4"/>
                <w:szCs w:val="4"/>
              </w:rPr>
            </w:pPr>
            <w:r>
              <w:rPr>
                <w:sz w:val="4"/>
                <w:szCs w:val="4"/>
              </w:rPr>
            </w:r>
          </w:p>
        </w:tc>
        <w:tc>
          <w:tcPr>
            <w:tcW w:w="1316" w:type="dxa"/>
            <w:tcBorders/>
            <w:vAlign w:val="center"/>
          </w:tcPr>
          <w:p>
            <w:pPr>
              <w:pStyle w:val="TableContents"/>
              <w:bidi w:val="0"/>
              <w:spacing w:before="0" w:after="283"/>
              <w:jc w:val="left"/>
              <w:rPr>
                <w:sz w:val="4"/>
                <w:szCs w:val="4"/>
              </w:rPr>
            </w:pPr>
            <w:r>
              <w:rPr>
                <w:sz w:val="4"/>
                <w:szCs w:val="4"/>
              </w:rPr>
            </w:r>
          </w:p>
        </w:tc>
        <w:tc>
          <w:tcPr>
            <w:tcW w:w="1868" w:type="dxa"/>
            <w:tcBorders/>
            <w:vAlign w:val="center"/>
          </w:tcPr>
          <w:p>
            <w:pPr>
              <w:pStyle w:val="TableContents"/>
              <w:bidi w:val="0"/>
              <w:spacing w:before="0" w:after="283"/>
              <w:jc w:val="left"/>
              <w:rPr>
                <w:sz w:val="4"/>
                <w:szCs w:val="4"/>
              </w:rPr>
            </w:pPr>
            <w:r>
              <w:rPr>
                <w:sz w:val="4"/>
                <w:szCs w:val="4"/>
              </w:rPr>
            </w:r>
          </w:p>
        </w:tc>
      </w:tr>
      <w:tr>
        <w:trPr/>
        <w:tc>
          <w:tcPr>
            <w:tcW w:w="228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rade Gothic;sans-serif" w:hAnsi="Trade Gothic;sans-serif"/>
                <w:b/>
                <w:color w:val="000000"/>
                <w:sz w:val="16"/>
              </w:rPr>
            </w:pPr>
            <w:r>
              <w:rPr>
                <w:rFonts w:ascii="Trade Gothic;sans-serif" w:hAnsi="Trade Gothic;sans-serif"/>
                <w:b/>
                <w:color w:val="000000"/>
                <w:sz w:val="16"/>
              </w:rPr>
              <w:t>Director</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rade Gothic;sans-serif" w:hAnsi="Trade Gothic;sans-serif"/>
                <w:b/>
                <w:color w:val="000000"/>
                <w:sz w:val="16"/>
              </w:rPr>
            </w:pPr>
            <w:r>
              <w:rPr>
                <w:rFonts w:ascii="Trade Gothic;sans-serif" w:hAnsi="Trade Gothic;sans-serif"/>
                <w:b/>
                <w:color w:val="000000"/>
                <w:sz w:val="16"/>
              </w:rPr>
              <w:t>Affiliated Stockholder</w:t>
            </w:r>
          </w:p>
        </w:tc>
      </w:tr>
      <w:tr>
        <w:trPr/>
        <w:tc>
          <w:tcPr>
            <w:tcW w:w="228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left"/>
              <w:rPr>
                <w:rFonts w:ascii="Trade Gothic;sans-serif" w:hAnsi="Trade Gothic;sans-serif"/>
                <w:b w:val="false"/>
                <w:color w:val="000000"/>
                <w:sz w:val="19"/>
              </w:rPr>
            </w:pPr>
            <w:r>
              <w:rPr>
                <w:rFonts w:ascii="Trade Gothic;sans-serif" w:hAnsi="Trade Gothic;sans-serif"/>
                <w:b w:val="false"/>
                <w:color w:val="000000"/>
                <w:sz w:val="19"/>
              </w:rPr>
              <w:t>David Friedman, M.D.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rade Gothic;sans-serif" w:hAnsi="Trade Gothic;sans-serif"/>
                <w:b w:val="false"/>
                <w:color w:val="000000"/>
                <w:sz w:val="19"/>
              </w:rPr>
            </w:pPr>
            <w:r>
              <w:rPr>
                <w:rFonts w:ascii="Trade Gothic;sans-serif" w:hAnsi="Trade Gothic;sans-serif"/>
                <w:b w:val="false"/>
                <w:color w:val="000000"/>
                <w:sz w:val="19"/>
              </w:rPr>
              <w:t>Entities affiliated with Montanova Capital</w:t>
            </w:r>
          </w:p>
        </w:tc>
      </w:tr>
      <w:tr>
        <w:trPr/>
        <w:tc>
          <w:tcPr>
            <w:tcW w:w="228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rade Gothic;sans-serif" w:hAnsi="Trade Gothic;sans-serif"/>
                <w:b w:val="false"/>
                <w:color w:val="000000"/>
                <w:sz w:val="19"/>
              </w:rPr>
            </w:pPr>
            <w:r>
              <w:rPr>
                <w:rFonts w:ascii="Trade Gothic;sans-serif" w:hAnsi="Trade Gothic;sans-serif"/>
                <w:b w:val="false"/>
                <w:color w:val="000000"/>
                <w:sz w:val="19"/>
              </w:rPr>
              <w:t>John W. Childs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rade Gothic;sans-serif" w:hAnsi="Trade Gothic;sans-serif"/>
                <w:b w:val="false"/>
                <w:color w:val="000000"/>
                <w:sz w:val="19"/>
              </w:rPr>
            </w:pPr>
            <w:r>
              <w:rPr>
                <w:rFonts w:ascii="Trade Gothic;sans-serif" w:hAnsi="Trade Gothic;sans-serif"/>
                <w:b w:val="false"/>
                <w:color w:val="000000"/>
                <w:sz w:val="19"/>
              </w:rPr>
              <w:t>Entities affiliated with J.W. Childs Associates</w:t>
            </w:r>
          </w:p>
        </w:tc>
      </w:tr>
      <w:tr>
        <w:trPr/>
        <w:tc>
          <w:tcPr>
            <w:tcW w:w="228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rade Gothic;sans-serif" w:hAnsi="Trade Gothic;sans-serif"/>
                <w:b w:val="false"/>
                <w:color w:val="000000"/>
                <w:sz w:val="19"/>
              </w:rPr>
            </w:pPr>
            <w:r>
              <w:rPr>
                <w:rFonts w:ascii="Trade Gothic;sans-serif" w:hAnsi="Trade Gothic;sans-serif"/>
                <w:b w:val="false"/>
                <w:color w:val="000000"/>
                <w:sz w:val="19"/>
              </w:rPr>
              <w:t>Patrick Enright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rade Gothic;sans-serif" w:hAnsi="Trade Gothic;sans-serif"/>
                <w:b w:val="false"/>
                <w:color w:val="000000"/>
                <w:sz w:val="19"/>
              </w:rPr>
            </w:pPr>
            <w:r>
              <w:rPr>
                <w:rFonts w:ascii="Trade Gothic;sans-serif" w:hAnsi="Trade Gothic;sans-serif"/>
                <w:b w:val="false"/>
                <w:color w:val="000000"/>
                <w:sz w:val="19"/>
              </w:rPr>
              <w:t>Entities affiliated with Longitude Capital</w:t>
            </w:r>
          </w:p>
        </w:tc>
      </w:tr>
      <w:tr>
        <w:trPr/>
        <w:tc>
          <w:tcPr>
            <w:tcW w:w="228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rade Gothic;sans-serif" w:hAnsi="Trade Gothic;sans-serif"/>
                <w:b w:val="false"/>
                <w:color w:val="000000"/>
                <w:sz w:val="19"/>
              </w:rPr>
            </w:pPr>
            <w:r>
              <w:rPr>
                <w:rFonts w:ascii="Trade Gothic;sans-serif" w:hAnsi="Trade Gothic;sans-serif"/>
                <w:b w:val="false"/>
                <w:color w:val="000000"/>
                <w:sz w:val="19"/>
              </w:rPr>
              <w:t xml:space="preserve">Katarina Pance, Ph.D.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rade Gothic;sans-serif" w:hAnsi="Trade Gothic;sans-serif"/>
                <w:b w:val="false"/>
                <w:color w:val="000000"/>
                <w:sz w:val="19"/>
              </w:rPr>
            </w:pPr>
            <w:r>
              <w:rPr>
                <w:rFonts w:ascii="Trade Gothic;sans-serif" w:hAnsi="Trade Gothic;sans-serif"/>
                <w:b w:val="false"/>
                <w:color w:val="000000"/>
                <w:sz w:val="19"/>
              </w:rPr>
              <w:t xml:space="preserve">Entities affiliated with SR One </w:t>
            </w:r>
          </w:p>
        </w:tc>
      </w:tr>
      <w:tr>
        <w:trPr/>
        <w:tc>
          <w:tcPr>
            <w:tcW w:w="2280"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4500"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80"/>
        <w:jc w:val="left"/>
        <w:rPr>
          <w:rFonts w:ascii="Trade Gothic;sans-serif" w:hAnsi="Trade Gothic;sans-serif"/>
          <w:b/>
          <w:color w:val="000000"/>
          <w:sz w:val="20"/>
        </w:rPr>
      </w:pPr>
      <w:r>
        <w:rPr>
          <w:rFonts w:ascii="Trade Gothic;sans-serif" w:hAnsi="Trade Gothic;sans-serif"/>
          <w:b/>
          <w:color w:val="000000"/>
          <w:sz w:val="20"/>
        </w:rPr>
        <w:t>Agreements with Therapeutics, Inc.</w:t>
      </w:r>
    </w:p>
    <w:p>
      <w:pPr>
        <w:pStyle w:val="TextBody"/>
        <w:bidi w:val="0"/>
        <w:spacing w:lineRule="auto" w:line="288" w:before="0" w:after="240"/>
        <w:jc w:val="left"/>
        <w:rPr/>
      </w:pPr>
      <w:r>
        <w:rPr>
          <w:rFonts w:ascii="Trade Gothic;sans-serif" w:hAnsi="Trade Gothic;sans-serif"/>
          <w:b w:val="false"/>
          <w:color w:val="000000"/>
          <w:sz w:val="20"/>
        </w:rPr>
        <w:t>In September 2020, we entered into the MSA and the Collaboration Agreement with TI. The MSA and Collaboration Agreement are described in more detail in the section titled “</w:t>
      </w:r>
      <w:r>
        <w:fldChar w:fldCharType="begin"/>
      </w:r>
      <w:r>
        <w:rPr>
          <w:rStyle w:val="InternetLink"/>
          <w:sz w:val="20"/>
          <w:u w:val="single"/>
          <w:b w:val="false"/>
          <w:rFonts w:ascii="Trade Gothic;sans-serif" w:hAnsi="Trade Gothic;sans-serif"/>
          <w:color w:val="0000FF"/>
        </w:rPr>
        <w:instrText xml:space="preserve"> HYPERLINK "https://www.sec.gov/ix?doc=/Archives/edgar/data/0001827635/000182763526000013/mane-20251231.htm" \l "iaac7c4d498e644c194c27168c9fde998_172072"</w:instrText>
      </w:r>
      <w:r>
        <w:rPr>
          <w:rStyle w:val="InternetLink"/>
          <w:sz w:val="20"/>
          <w:u w:val="single"/>
          <w:b w:val="false"/>
          <w:rFonts w:ascii="Trade Gothic;sans-serif" w:hAnsi="Trade Gothic;sans-serif"/>
          <w:color w:val="0000FF"/>
        </w:rPr>
        <w:fldChar w:fldCharType="separate"/>
      </w:r>
      <w:r>
        <w:rPr>
          <w:rStyle w:val="InternetLink"/>
          <w:rFonts w:ascii="Trade Gothic;sans-serif" w:hAnsi="Trade Gothic;sans-serif"/>
          <w:b w:val="false"/>
          <w:color w:val="0000FF"/>
          <w:sz w:val="20"/>
          <w:u w:val="single"/>
        </w:rPr>
        <w:t>Business-Agreements with Therapeutics, Inc.</w:t>
      </w:r>
      <w:r>
        <w:rPr>
          <w:rStyle w:val="InternetLink"/>
          <w:sz w:val="20"/>
          <w:u w:val="single"/>
          <w:b w:val="false"/>
          <w:rFonts w:ascii="Trade Gothic;sans-serif" w:hAnsi="Trade Gothic;sans-serif"/>
          <w:color w:val="0000FF"/>
        </w:rPr>
        <w:fldChar w:fldCharType="end"/>
      </w:r>
      <w:r>
        <w:rPr>
          <w:color w:val="000000"/>
        </w:rPr>
        <w:t xml:space="preserve">” </w:t>
      </w:r>
      <w:r>
        <w:rPr>
          <w:rFonts w:ascii="Trade Gothic;sans-serif" w:hAnsi="Trade Gothic;sans-serif"/>
          <w:b w:val="false"/>
          <w:color w:val="000000"/>
          <w:sz w:val="20"/>
        </w:rPr>
        <w:t xml:space="preserve">in our Annual Report. Pursuant to the Collaboration Agreement, we issued TI a convertible promissory note with a principal amount of $0.5 million. On September 22, 2021, the convertible promissory note was converted into 238,008 shares of our Series A-2 Preferred Stock. In August 2024, we issued to TI a convertible promissory note with a principal amount of $1.2 million for committed research and development services. In November 2024, the convertible promissory note was converted into 1,016,056 shares of our Series B Preferred Stock pursuant to the Series B Preferred Stock Purchase Agreement. Prior to the conversion, the aggregate principal amount and unpaid interest of the convertible promissory note was $1.2 million. During the years ended December 31, 2025, 2024 and 2023, we paid TI $45.0 million, $14.4 million and $5.9 million, respectively, in connection with the MSA and work orders thereunder. During the six months ended June 30, 2026, we paid TI $14.9 million in connection with the MSA and work orders thereunder. TI beneficially owned more than 5% of our capital stock during the years ended December 31, 2024 and 2023. </w:t>
      </w:r>
    </w:p>
    <w:p>
      <w:pPr>
        <w:pStyle w:val="TextBody"/>
        <w:bidi w:val="0"/>
        <w:spacing w:lineRule="auto" w:line="288" w:before="240" w:after="80"/>
        <w:jc w:val="left"/>
        <w:rPr>
          <w:rFonts w:ascii="Trade Gothic;sans-serif" w:hAnsi="Trade Gothic;sans-serif"/>
          <w:b/>
          <w:color w:val="000000"/>
          <w:sz w:val="20"/>
        </w:rPr>
      </w:pPr>
      <w:r>
        <w:rPr>
          <w:rFonts w:ascii="Trade Gothic;sans-serif" w:hAnsi="Trade Gothic;sans-serif"/>
          <w:b/>
          <w:color w:val="000000"/>
          <w:sz w:val="20"/>
        </w:rPr>
        <w:t>Agreement with ChemWerth, Inc.</w:t>
      </w:r>
    </w:p>
    <w:p>
      <w:pPr>
        <w:pStyle w:val="TextBody"/>
        <w:bidi w:val="0"/>
        <w:spacing w:lineRule="auto" w:line="288" w:before="0" w:after="240"/>
        <w:jc w:val="left"/>
        <w:rPr>
          <w:rFonts w:ascii="Trade Gothic;sans-serif" w:hAnsi="Trade Gothic;sans-serif"/>
          <w:b w:val="false"/>
          <w:color w:val="000000"/>
          <w:sz w:val="20"/>
        </w:rPr>
      </w:pPr>
      <w:r>
        <w:rPr>
          <w:rFonts w:ascii="Trade Gothic;sans-serif" w:hAnsi="Trade Gothic;sans-serif"/>
          <w:b w:val="false"/>
          <w:color w:val="000000"/>
          <w:sz w:val="20"/>
        </w:rPr>
        <w:t xml:space="preserve">In July 2022, we entered into a Development and Manufacturing Agreement, or the Development and Manufacturing Agreement with ChemWerth, Inc., or ChemWerth. In accordance with the Development and </w:t>
      </w:r>
    </w:p>
    <w:p>
      <w:pPr>
        <w:pStyle w:val="TextBody"/>
        <w:bidi w:val="0"/>
        <w:spacing w:before="0" w:after="0"/>
        <w:jc w:val="right"/>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140335"/>
                <wp:effectExtent l="0" t="0" r="0" b="0"/>
                <wp:wrapNone/>
                <wp:docPr id="15" name="Frame14"/>
                <a:graphic xmlns:a="http://schemas.openxmlformats.org/drawingml/2006/main">
                  <a:graphicData uri="http://schemas.microsoft.com/office/word/2010/wordprocessingShape">
                    <wps:wsp>
                      <wps:cNvSpPr txBox="1"/>
                      <wps:spPr>
                        <a:xfrm>
                          <a:off x="0" y="0"/>
                          <a:ext cx="6480175" cy="140335"/>
                        </a:xfrm>
                        <a:prstGeom prst="rect"/>
                        <a:solidFill>
                          <a:srgbClr val="FFFFFF"/>
                        </a:solidFill>
                      </wps:spPr>
                      <wps:txbx>
                        <w:txbxContent>
                          <w:p>
                            <w:pPr>
                              <w:pStyle w:val="TextBody"/>
                              <w:bidi w:val="0"/>
                              <w:spacing w:lineRule="auto" w:line="288" w:before="0" w:after="180"/>
                              <w:jc w:val="center"/>
                              <w:rPr>
                                <w:rFonts w:ascii="Trade Gothic;sans-serif" w:hAnsi="Trade Gothic;sans-serif"/>
                                <w:b w:val="false"/>
                                <w:color w:val="000000"/>
                                <w:sz w:val="19"/>
                              </w:rPr>
                            </w:pPr>
                            <w:r>
                              <w:rPr>
                                <w:rFonts w:ascii="Trade Gothic;sans-serif" w:hAnsi="Trade Gothic;sans-serif"/>
                                <w:b w:val="false"/>
                                <w:color w:val="000000"/>
                                <w:sz w:val="19"/>
                              </w:rPr>
                              <w:t>11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0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180"/>
                        <w:jc w:val="center"/>
                        <w:rPr>
                          <w:rFonts w:ascii="Trade Gothic;sans-serif" w:hAnsi="Trade Gothic;sans-serif"/>
                          <w:b w:val="false"/>
                          <w:color w:val="000000"/>
                          <w:sz w:val="19"/>
                        </w:rPr>
                      </w:pPr>
                      <w:r>
                        <w:rPr>
                          <w:rFonts w:ascii="Trade Gothic;sans-serif" w:hAnsi="Trade Gothic;sans-serif"/>
                          <w:b w:val="false"/>
                          <w:color w:val="000000"/>
                          <w:sz w:val="19"/>
                        </w:rPr>
                        <w:t>11</w:t>
                      </w:r>
                    </w:p>
                  </w:txbxContent>
                </v:textbox>
                <w10:wrap type="none"/>
              </v:rect>
            </w:pict>
          </mc:Fallback>
        </mc:AlternateContent>
      </w:r>
    </w:p>
    <w:p>
      <w:pPr>
        <w:pStyle w:val="TextBody"/>
        <w:bidi w:val="0"/>
        <w:spacing w:lineRule="auto" w:line="288" w:before="0" w:after="240"/>
        <w:jc w:val="left"/>
        <w:rPr>
          <w:rFonts w:ascii="Trade Gothic;sans-serif" w:hAnsi="Trade Gothic;sans-serif"/>
          <w:b w:val="false"/>
          <w:color w:val="000000"/>
          <w:sz w:val="20"/>
        </w:rPr>
      </w:pPr>
      <w:r>
        <w:rPr>
          <w:rFonts w:ascii="Trade Gothic;sans-serif" w:hAnsi="Trade Gothic;sans-serif"/>
          <w:b w:val="false"/>
          <w:color w:val="000000"/>
          <w:sz w:val="20"/>
        </w:rPr>
        <w:t>Manufacturing Agreement, ChemWerth provides development and manufacturing services for the production of active pharmaceutical ingredients or drug substances identified by the Company. In May 2023, we issued to ChemWerth a promissory note with principal amount of $0.8 million, and in August 2024, we issued to ChemWerth a convertible note with principal amount of $0.3 million, each in connection with the Development and Manufacturing Agreement. In November 2024, we repaid the promissory note, including accrued interest, in full with proceeds from our Series B Preferred Stock financing, and the convertible note, including accrued interest, was converted into 873,308 shares of our Series B Preferred Stock pursuant to the Series B Preferred Stock Purchase Agreement. Prior to the repayment of the promissory note and the conversion of the convertible note, the aggregate principal amount and unpaid interest of the promissory note and the convertible note was $0.8 million and $0.3 million, respectively. During the years ended December 31, 2025, 2024 and 2023, we paid ChemWerth $0.5 million, $1.1 million and $2.7 million, respectively, in connection with the Development and Manufacturing Agreement. ChemWerth and its affiliates together beneficially owned more than 5% of our capital stock during the years ended December 31, 2024 and 2023.</w:t>
      </w:r>
    </w:p>
    <w:p>
      <w:pPr>
        <w:pStyle w:val="TextBody"/>
        <w:bidi w:val="0"/>
        <w:spacing w:lineRule="auto" w:line="288" w:before="240" w:after="80"/>
        <w:jc w:val="left"/>
        <w:rPr>
          <w:rFonts w:ascii="Trade Gothic;sans-serif" w:hAnsi="Trade Gothic;sans-serif"/>
          <w:b/>
          <w:color w:val="000000"/>
          <w:sz w:val="20"/>
        </w:rPr>
      </w:pPr>
      <w:r>
        <w:rPr>
          <w:rFonts w:ascii="Trade Gothic;sans-serif" w:hAnsi="Trade Gothic;sans-serif"/>
          <w:b/>
          <w:color w:val="000000"/>
          <w:sz w:val="20"/>
        </w:rPr>
        <w:t>Agreements with Green Line Talent Group LLC</w:t>
      </w:r>
    </w:p>
    <w:p>
      <w:pPr>
        <w:pStyle w:val="TextBody"/>
        <w:bidi w:val="0"/>
        <w:spacing w:lineRule="auto" w:line="288" w:before="0" w:after="240"/>
        <w:jc w:val="left"/>
        <w:rPr>
          <w:rFonts w:ascii="Trade Gothic;sans-serif" w:hAnsi="Trade Gothic;sans-serif"/>
          <w:b w:val="false"/>
          <w:color w:val="000000"/>
          <w:sz w:val="20"/>
        </w:rPr>
      </w:pPr>
      <w:r>
        <w:rPr>
          <w:rFonts w:ascii="Trade Gothic;sans-serif" w:hAnsi="Trade Gothic;sans-serif"/>
          <w:b w:val="false"/>
          <w:color w:val="000000"/>
          <w:sz w:val="20"/>
        </w:rPr>
        <w:t xml:space="preserve">From December 2024 to July 2025, we entered into certain talent search agreements with Green Line Talent Group LLC, or Green Line, pursuant to which we retained Green Line on an exclusive basis to provide end-to-end recruitment services for various roles at the Company. During the year ended December 31, 2025, we paid Green Line $0.2 million pursuant to the talent search agreements. During the six months ended June 30, 2026, we paid Green Line $0.4 million pursuant to the talent search agreements. The Green Line Agreements may be considered a related party transactions because Kristen Nielsen, a Partner at Green Line, is the spouse of Mr. Carrano, our Chief Financial Officer. The Green Line agreements were negotiated on an arm’s-length basis and are market rate transaction on terms that we believe are no less favorable than would have been reached with an unrelated third party. </w:t>
      </w:r>
    </w:p>
    <w:p>
      <w:pPr>
        <w:pStyle w:val="TextBody"/>
        <w:bidi w:val="0"/>
        <w:spacing w:lineRule="auto" w:line="288" w:before="240" w:after="80"/>
        <w:jc w:val="left"/>
        <w:rPr>
          <w:rFonts w:ascii="Trade Gothic;sans-serif" w:hAnsi="Trade Gothic;sans-serif"/>
          <w:b/>
          <w:color w:val="000000"/>
          <w:sz w:val="20"/>
        </w:rPr>
      </w:pPr>
      <w:r>
        <w:rPr>
          <w:rFonts w:ascii="Trade Gothic;sans-serif" w:hAnsi="Trade Gothic;sans-serif"/>
          <w:b/>
          <w:color w:val="000000"/>
          <w:sz w:val="20"/>
        </w:rPr>
        <w:t>Director and Officer Indemnification and Insurance</w:t>
      </w:r>
    </w:p>
    <w:p>
      <w:pPr>
        <w:pStyle w:val="TextBody"/>
        <w:bidi w:val="0"/>
        <w:spacing w:lineRule="auto" w:line="288" w:before="0" w:after="240"/>
        <w:jc w:val="left"/>
        <w:rPr>
          <w:rFonts w:ascii="Trade Gothic;sans-serif" w:hAnsi="Trade Gothic;sans-serif"/>
          <w:b w:val="false"/>
          <w:color w:val="000000"/>
          <w:sz w:val="20"/>
        </w:rPr>
      </w:pPr>
      <w:r>
        <w:rPr>
          <w:rFonts w:ascii="Trade Gothic;sans-serif" w:hAnsi="Trade Gothic;sans-serif"/>
          <w:b w:val="false"/>
          <w:color w:val="000000"/>
          <w:sz w:val="20"/>
        </w:rPr>
        <w:t>We have agreed to indemnify each of our directors and executive officers against certain liabilities, costs and expenses, and have purchased directors’ and officers’ liability insurance. We also maintain a general liability insurance policy which covers certain liabilities of directors and officers arising out of claims based on acts or omissions in their capacities as directors or officers.</w:t>
      </w:r>
    </w:p>
    <w:p>
      <w:pPr>
        <w:pStyle w:val="TextBody"/>
        <w:bidi w:val="0"/>
        <w:spacing w:lineRule="auto" w:line="288" w:before="240" w:after="80"/>
        <w:jc w:val="left"/>
        <w:rPr>
          <w:rFonts w:ascii="Trade Gothic;sans-serif" w:hAnsi="Trade Gothic;sans-serif"/>
          <w:b/>
          <w:color w:val="000000"/>
          <w:sz w:val="20"/>
        </w:rPr>
      </w:pPr>
      <w:r>
        <w:rPr>
          <w:rFonts w:ascii="Trade Gothic;sans-serif" w:hAnsi="Trade Gothic;sans-serif"/>
          <w:b/>
          <w:color w:val="000000"/>
          <w:sz w:val="20"/>
        </w:rPr>
        <w:t>Related Person Transactions Policy</w:t>
      </w:r>
    </w:p>
    <w:p>
      <w:pPr>
        <w:pStyle w:val="TextBody"/>
        <w:bidi w:val="0"/>
        <w:spacing w:lineRule="auto" w:line="288" w:before="0" w:after="240"/>
        <w:jc w:val="left"/>
        <w:rPr>
          <w:rFonts w:ascii="Trade Gothic;sans-serif" w:hAnsi="Trade Gothic;sans-serif"/>
          <w:b w:val="false"/>
          <w:color w:val="000000"/>
          <w:sz w:val="20"/>
        </w:rPr>
      </w:pPr>
      <w:r>
        <w:rPr>
          <w:rFonts w:ascii="Trade Gothic;sans-serif" w:hAnsi="Trade Gothic;sans-serif"/>
          <w:b w:val="false"/>
          <w:color w:val="000000"/>
          <w:sz w:val="20"/>
        </w:rPr>
        <w:t>Our board of directors has adopted a written related person transaction policy setting forth the policies and procedures for the review and approval or ratification of related person transactions. This policy covers, with certain exceptions set forth in Item 404 of Regulation S-K under the Securities Act, any transaction, arrangement or relationship, or any series of similar transactions, arrangements or relationships, in which we were or are to be a participant, where the amount involved exceeds the lesser of (i) $120,000 or (ii) one percent of the average of our total assets at year end for the last two completed fiscal years, in any fiscal year and a related person had, has or will have a direct or indirect material interest, including without limitation, purchases of goods or services by or from the related person or entities in which the related person has a material interest, indebtedness, guarantees of indebtedness and employment by us of a related person. In reviewing and approving any such transactions, our audit committee is tasked with considering all relevant facts and circumstances, including, but not limited to, whether the transaction is on terms comparable to those that could be obtained in an arm’s length transaction and the extent of the related person’s interest in the transaction. All of the transactions described in this section occurred prior to the adoption of this policy.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right"/>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140335"/>
                <wp:effectExtent l="0" t="0" r="0" b="0"/>
                <wp:wrapNone/>
                <wp:docPr id="16" name="Frame15"/>
                <a:graphic xmlns:a="http://schemas.openxmlformats.org/drawingml/2006/main">
                  <a:graphicData uri="http://schemas.microsoft.com/office/word/2010/wordprocessingShape">
                    <wps:wsp>
                      <wps:cNvSpPr txBox="1"/>
                      <wps:spPr>
                        <a:xfrm>
                          <a:off x="0" y="0"/>
                          <a:ext cx="6480175" cy="140335"/>
                        </a:xfrm>
                        <a:prstGeom prst="rect"/>
                        <a:solidFill>
                          <a:srgbClr val="FFFFFF"/>
                        </a:solidFill>
                      </wps:spPr>
                      <wps:txbx>
                        <w:txbxContent>
                          <w:p>
                            <w:pPr>
                              <w:pStyle w:val="TextBody"/>
                              <w:bidi w:val="0"/>
                              <w:spacing w:lineRule="auto" w:line="288" w:before="0" w:after="180"/>
                              <w:jc w:val="center"/>
                              <w:rPr>
                                <w:rFonts w:ascii="Trade Gothic;sans-serif" w:hAnsi="Trade Gothic;sans-serif"/>
                                <w:b w:val="false"/>
                                <w:color w:val="000000"/>
                                <w:sz w:val="19"/>
                              </w:rPr>
                            </w:pPr>
                            <w:r>
                              <w:rPr>
                                <w:rFonts w:ascii="Trade Gothic;sans-serif" w:hAnsi="Trade Gothic;sans-serif"/>
                                <w:b w:val="false"/>
                                <w:color w:val="000000"/>
                                <w:sz w:val="19"/>
                              </w:rPr>
                              <w:t>12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0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180"/>
                        <w:jc w:val="center"/>
                        <w:rPr>
                          <w:rFonts w:ascii="Trade Gothic;sans-serif" w:hAnsi="Trade Gothic;sans-serif"/>
                          <w:b w:val="false"/>
                          <w:color w:val="000000"/>
                          <w:sz w:val="19"/>
                        </w:rPr>
                      </w:pPr>
                      <w:r>
                        <w:rPr>
                          <w:rFonts w:ascii="Trade Gothic;sans-serif" w:hAnsi="Trade Gothic;sans-serif"/>
                          <w:b w:val="false"/>
                          <w:color w:val="000000"/>
                          <w:sz w:val="19"/>
                        </w:rPr>
                        <w:t>12</w:t>
                      </w:r>
                    </w:p>
                  </w:txbxContent>
                </v:textbox>
                <w10:wrap type="none"/>
              </v:rect>
            </w:pict>
          </mc:Fallback>
        </mc:AlternateContent>
      </w:r>
    </w:p>
    <w:p>
      <w:pPr>
        <w:pStyle w:val="TextBody"/>
        <w:bidi w:val="0"/>
        <w:spacing w:lineRule="auto" w:line="288" w:before="0" w:after="360"/>
        <w:jc w:val="center"/>
        <w:rPr>
          <w:rFonts w:ascii="Trade Gothic;sans-serif" w:hAnsi="Trade Gothic;sans-serif"/>
          <w:b/>
          <w:color w:val="000000"/>
          <w:sz w:val="20"/>
        </w:rPr>
      </w:pPr>
      <w:r>
        <w:rPr>
          <w:rFonts w:ascii="Trade Gothic;sans-serif" w:hAnsi="Trade Gothic;sans-serif"/>
          <w:b/>
          <w:color w:val="000000"/>
          <w:sz w:val="20"/>
        </w:rPr>
        <w:t>SELLING STOCKHOLDERS</w:t>
      </w:r>
    </w:p>
    <w:p>
      <w:pPr>
        <w:pStyle w:val="TextBody"/>
        <w:bidi w:val="0"/>
        <w:spacing w:lineRule="auto" w:line="288" w:before="0" w:after="240"/>
        <w:jc w:val="left"/>
        <w:rPr>
          <w:rFonts w:ascii="Trade Gothic;sans-serif" w:hAnsi="Trade Gothic;sans-serif"/>
          <w:b w:val="false"/>
          <w:color w:val="000000"/>
          <w:sz w:val="20"/>
        </w:rPr>
      </w:pPr>
      <w:r>
        <w:rPr>
          <w:rFonts w:ascii="Trade Gothic;sans-serif" w:hAnsi="Trade Gothic;sans-serif"/>
          <w:b w:val="false"/>
          <w:color w:val="000000"/>
          <w:sz w:val="20"/>
        </w:rPr>
        <w:t xml:space="preserve">We are registering the Resale Shares to permit each of the selling stockholders identified below, or their permitted transferees or other successors-in-interest that may be identified in a supplement to this prospectus or, if required, a post-effective amendment to the registration statement, of which this prospectus is a part, to resell or otherwise dispose of the securities in the manner contemplated under “Plan of Distribution” in this prospectus (as may be supplemented and amended). This prospectus covers the sale or other disposition by the selling stockholders of up to (i) 16,772,058 shares of common stock and (ii) 300,000 shares of common stock issuable upon the exercise of the Pre-Funded Warrants. When we refer to “selling stockholders” in this prospectus, we mean those persons listed in the table below, as well as their permitted transferees, pledgees or donees or other successors-in-interest that may be identified in a supplement to this prospectus or, if required, a post-effective amendment to the registration statement, of which this prospectus is a part. The selling stockholders may sell some, all or none of their shares of our common stock. We do not know how long the selling stockholders will hold the shares before selling them, and we currently have no agreements, arrangements or understandings with the selling stockholders regarding the sale or other disposition of any of the shares. The shares of Common Stock covered hereby may be offered from time to time by the selling stockholders. </w:t>
      </w:r>
    </w:p>
    <w:p>
      <w:pPr>
        <w:pStyle w:val="TextBody"/>
        <w:bidi w:val="0"/>
        <w:spacing w:lineRule="auto" w:line="288" w:before="0" w:after="240"/>
        <w:jc w:val="left"/>
        <w:rPr>
          <w:rFonts w:ascii="Trade Gothic;sans-serif" w:hAnsi="Trade Gothic;sans-serif"/>
          <w:b w:val="false"/>
          <w:color w:val="000000"/>
          <w:sz w:val="20"/>
        </w:rPr>
      </w:pPr>
      <w:r>
        <w:rPr>
          <w:rFonts w:ascii="Trade Gothic;sans-serif" w:hAnsi="Trade Gothic;sans-serif"/>
          <w:b w:val="false"/>
          <w:color w:val="000000"/>
          <w:sz w:val="20"/>
        </w:rPr>
        <w:t xml:space="preserve">The information regarding shares beneficially owned after the offering assumes the sale of all shares of our common stock offered by the selling stockholders. To our knowledge, subject to community property laws where applicable, each person named in the table has sole voting and investment power with respect to the shares of our common stock set forth opposite such person’s name. </w:t>
      </w:r>
    </w:p>
    <w:p>
      <w:pPr>
        <w:pStyle w:val="TextBody"/>
        <w:bidi w:val="0"/>
        <w:spacing w:lineRule="auto" w:line="288" w:before="0" w:after="240"/>
        <w:jc w:val="left"/>
        <w:rPr>
          <w:rFonts w:ascii="Trade Gothic;sans-serif" w:hAnsi="Trade Gothic;sans-serif"/>
          <w:b w:val="false"/>
          <w:color w:val="000000"/>
          <w:sz w:val="20"/>
        </w:rPr>
      </w:pPr>
      <w:r>
        <w:rPr>
          <w:rFonts w:ascii="Trade Gothic;sans-serif" w:hAnsi="Trade Gothic;sans-serif"/>
          <w:b w:val="false"/>
          <w:color w:val="000000"/>
          <w:sz w:val="20"/>
        </w:rPr>
        <w:t xml:space="preserve">The following table sets forth the name of each selling stockholder, the number and percentage of shares of Common Stock beneficially owned by the selling stockholders as of August 6, 2026, the number of shares of our common stock that may be offered under this prospectus, and the number and percentage of shares of our common stock beneficially owned by the selling stockholders assuming all of the shares of our common stock registered hereunder are sold. Beneficial ownership is determined in accordance with the rules of the SEC and includes voting or investment power with respect to the Common Stock. Generally, a person “beneficially owns” shares of the Common Stock if the person has or shares with others the right to vote those shares or to dispose of them, or if the person has the right to acquire voting or disposition rights within 60 days of August 6, 2026. </w:t>
      </w:r>
    </w:p>
    <w:p>
      <w:pPr>
        <w:pStyle w:val="TextBody"/>
        <w:bidi w:val="0"/>
        <w:spacing w:lineRule="auto" w:line="288" w:before="0" w:after="240"/>
        <w:jc w:val="left"/>
        <w:rPr>
          <w:rFonts w:ascii="Trade Gothic;sans-serif" w:hAnsi="Trade Gothic;sans-serif"/>
          <w:b w:val="false"/>
          <w:color w:val="000000"/>
          <w:sz w:val="20"/>
        </w:rPr>
      </w:pPr>
      <w:r>
        <w:rPr>
          <w:rFonts w:ascii="Trade Gothic;sans-serif" w:hAnsi="Trade Gothic;sans-serif"/>
          <w:b w:val="false"/>
          <w:color w:val="000000"/>
          <w:sz w:val="20"/>
        </w:rPr>
        <w:t>The number of shares described under the column “Shares of Common Stock Beneficially Owned Prior to this Offering” for each selling stockholder includes all shares of our common stock beneficially held by such selling stockholder as of August 6, 2026. Because each selling stockholder may dispose of all, none or some portion of their shares of our common stock, no estimate can be given as to the number of shares of our common stock that will be beneficially owned by a selling stockholder upon termination of this offering.</w:t>
      </w:r>
    </w:p>
    <w:p>
      <w:pPr>
        <w:pStyle w:val="TextBody"/>
        <w:bidi w:val="0"/>
        <w:spacing w:lineRule="auto" w:line="288" w:before="0" w:after="240"/>
        <w:jc w:val="left"/>
        <w:rPr>
          <w:rFonts w:ascii="Trade Gothic;sans-serif" w:hAnsi="Trade Gothic;sans-serif"/>
          <w:b w:val="false"/>
          <w:color w:val="000000"/>
          <w:sz w:val="20"/>
        </w:rPr>
      </w:pPr>
      <w:r>
        <w:rPr>
          <w:rFonts w:ascii="Trade Gothic;sans-serif" w:hAnsi="Trade Gothic;sans-serif"/>
          <w:b w:val="false"/>
          <w:color w:val="000000"/>
          <w:sz w:val="20"/>
        </w:rPr>
        <w:t>For purposes of the table below, however, we have assumed that after termination of this offering none of the shares covered by this prospectus will be beneficially owned by the selling stockholders and further assumed that the selling stockholders will not acquire or dispose of beneficial ownership of any additional shares of our common stock during the offering. In addition, the selling stockholders may have sold, transferred or otherwise disposed of, or may sell, transfer or otherwise dispose of, at any time and from time to time, any or all of their shares of our common stock or interests in shares of our common stock in transactions exempt from the registration requirements of the Securities Act after the date on which the information in the table is presented. See the section titled “Plan of Distribution.”</w:t>
      </w:r>
    </w:p>
    <w:p>
      <w:pPr>
        <w:pStyle w:val="TextBody"/>
        <w:bidi w:val="0"/>
        <w:spacing w:before="0" w:after="0"/>
        <w:jc w:val="right"/>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140335"/>
                <wp:effectExtent l="0" t="0" r="0" b="0"/>
                <wp:wrapNone/>
                <wp:docPr id="17" name="Frame16"/>
                <a:graphic xmlns:a="http://schemas.openxmlformats.org/drawingml/2006/main">
                  <a:graphicData uri="http://schemas.microsoft.com/office/word/2010/wordprocessingShape">
                    <wps:wsp>
                      <wps:cNvSpPr txBox="1"/>
                      <wps:spPr>
                        <a:xfrm>
                          <a:off x="0" y="0"/>
                          <a:ext cx="6480175" cy="140335"/>
                        </a:xfrm>
                        <a:prstGeom prst="rect"/>
                        <a:solidFill>
                          <a:srgbClr val="FFFFFF"/>
                        </a:solidFill>
                      </wps:spPr>
                      <wps:txbx>
                        <w:txbxContent>
                          <w:p>
                            <w:pPr>
                              <w:pStyle w:val="TextBody"/>
                              <w:bidi w:val="0"/>
                              <w:spacing w:lineRule="auto" w:line="288" w:before="0" w:after="180"/>
                              <w:jc w:val="center"/>
                              <w:rPr>
                                <w:rFonts w:ascii="Trade Gothic;sans-serif" w:hAnsi="Trade Gothic;sans-serif"/>
                                <w:b w:val="false"/>
                                <w:color w:val="000000"/>
                                <w:sz w:val="19"/>
                              </w:rPr>
                            </w:pPr>
                            <w:r>
                              <w:rPr>
                                <w:rFonts w:ascii="Trade Gothic;sans-serif" w:hAnsi="Trade Gothic;sans-serif"/>
                                <w:b w:val="false"/>
                                <w:color w:val="000000"/>
                                <w:sz w:val="19"/>
                              </w:rPr>
                              <w:t>13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0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180"/>
                        <w:jc w:val="center"/>
                        <w:rPr>
                          <w:rFonts w:ascii="Trade Gothic;sans-serif" w:hAnsi="Trade Gothic;sans-serif"/>
                          <w:b w:val="false"/>
                          <w:color w:val="000000"/>
                          <w:sz w:val="19"/>
                        </w:rPr>
                      </w:pPr>
                      <w:r>
                        <w:rPr>
                          <w:rFonts w:ascii="Trade Gothic;sans-serif" w:hAnsi="Trade Gothic;sans-serif"/>
                          <w:b w:val="false"/>
                          <w:color w:val="000000"/>
                          <w:sz w:val="19"/>
                        </w:rPr>
                        <w:t>13</w:t>
                      </w:r>
                    </w:p>
                  </w:txbxContent>
                </v:textbox>
                <w10:wrap type="none"/>
              </v:rect>
            </w:pict>
          </mc:Fallback>
        </mc:AlternateContent>
      </w:r>
    </w:p>
    <w:tbl>
      <w:tblPr>
        <w:tblW w:w="10205" w:type="dxa"/>
        <w:jc w:val="left"/>
        <w:tblInd w:w="0" w:type="dxa"/>
        <w:tblLayout w:type="fixed"/>
        <w:tblCellMar>
          <w:top w:w="28" w:type="dxa"/>
          <w:left w:w="28" w:type="dxa"/>
          <w:bottom w:w="28" w:type="dxa"/>
          <w:right w:w="28" w:type="dxa"/>
        </w:tblCellMar>
      </w:tblPr>
      <w:tblGrid>
        <w:gridCol w:w="785"/>
        <w:gridCol w:w="584"/>
        <w:gridCol w:w="588"/>
        <w:gridCol w:w="109"/>
        <w:gridCol w:w="109"/>
        <w:gridCol w:w="109"/>
        <w:gridCol w:w="1073"/>
        <w:gridCol w:w="813"/>
        <w:gridCol w:w="815"/>
        <w:gridCol w:w="109"/>
        <w:gridCol w:w="109"/>
        <w:gridCol w:w="109"/>
        <w:gridCol w:w="880"/>
        <w:gridCol w:w="493"/>
        <w:gridCol w:w="495"/>
        <w:gridCol w:w="109"/>
        <w:gridCol w:w="109"/>
        <w:gridCol w:w="109"/>
        <w:gridCol w:w="549"/>
        <w:gridCol w:w="397"/>
        <w:gridCol w:w="172"/>
        <w:gridCol w:w="172"/>
        <w:gridCol w:w="172"/>
        <w:gridCol w:w="172"/>
        <w:gridCol w:w="358"/>
        <w:gridCol w:w="172"/>
        <w:gridCol w:w="534"/>
      </w:tblGrid>
      <w:tr>
        <w:trPr/>
        <w:tc>
          <w:tcPr>
            <w:tcW w:w="785" w:type="dxa"/>
            <w:tcBorders/>
            <w:vAlign w:val="center"/>
          </w:tcPr>
          <w:p>
            <w:pPr>
              <w:pStyle w:val="TableContents"/>
              <w:bidi w:val="0"/>
              <w:spacing w:before="0" w:after="283"/>
              <w:jc w:val="left"/>
              <w:rPr>
                <w:sz w:val="4"/>
                <w:szCs w:val="4"/>
              </w:rPr>
            </w:pPr>
            <w:r>
              <w:rPr>
                <w:sz w:val="4"/>
                <w:szCs w:val="4"/>
              </w:rPr>
            </w:r>
          </w:p>
        </w:tc>
        <w:tc>
          <w:tcPr>
            <w:tcW w:w="584" w:type="dxa"/>
            <w:tcBorders/>
            <w:vAlign w:val="center"/>
          </w:tcPr>
          <w:p>
            <w:pPr>
              <w:pStyle w:val="TableContents"/>
              <w:bidi w:val="0"/>
              <w:spacing w:before="0" w:after="283"/>
              <w:jc w:val="left"/>
              <w:rPr>
                <w:sz w:val="4"/>
                <w:szCs w:val="4"/>
              </w:rPr>
            </w:pPr>
            <w:r>
              <w:rPr>
                <w:sz w:val="4"/>
                <w:szCs w:val="4"/>
              </w:rPr>
            </w:r>
          </w:p>
        </w:tc>
        <w:tc>
          <w:tcPr>
            <w:tcW w:w="58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73" w:type="dxa"/>
            <w:tcBorders/>
            <w:vAlign w:val="center"/>
          </w:tcPr>
          <w:p>
            <w:pPr>
              <w:pStyle w:val="TableContents"/>
              <w:bidi w:val="0"/>
              <w:spacing w:before="0" w:after="283"/>
              <w:jc w:val="left"/>
              <w:rPr>
                <w:sz w:val="4"/>
                <w:szCs w:val="4"/>
              </w:rPr>
            </w:pPr>
            <w:r>
              <w:rPr>
                <w:sz w:val="4"/>
                <w:szCs w:val="4"/>
              </w:rPr>
            </w:r>
          </w:p>
        </w:tc>
        <w:tc>
          <w:tcPr>
            <w:tcW w:w="813" w:type="dxa"/>
            <w:tcBorders/>
            <w:vAlign w:val="center"/>
          </w:tcPr>
          <w:p>
            <w:pPr>
              <w:pStyle w:val="TableContents"/>
              <w:bidi w:val="0"/>
              <w:spacing w:before="0" w:after="283"/>
              <w:jc w:val="left"/>
              <w:rPr>
                <w:sz w:val="4"/>
                <w:szCs w:val="4"/>
              </w:rPr>
            </w:pPr>
            <w:r>
              <w:rPr>
                <w:sz w:val="4"/>
                <w:szCs w:val="4"/>
              </w:rPr>
            </w:r>
          </w:p>
        </w:tc>
        <w:tc>
          <w:tcPr>
            <w:tcW w:w="8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80" w:type="dxa"/>
            <w:tcBorders/>
            <w:vAlign w:val="center"/>
          </w:tcPr>
          <w:p>
            <w:pPr>
              <w:pStyle w:val="TableContents"/>
              <w:bidi w:val="0"/>
              <w:spacing w:before="0" w:after="283"/>
              <w:jc w:val="left"/>
              <w:rPr>
                <w:sz w:val="4"/>
                <w:szCs w:val="4"/>
              </w:rPr>
            </w:pPr>
            <w:r>
              <w:rPr>
                <w:sz w:val="4"/>
                <w:szCs w:val="4"/>
              </w:rPr>
            </w:r>
          </w:p>
        </w:tc>
        <w:tc>
          <w:tcPr>
            <w:tcW w:w="493" w:type="dxa"/>
            <w:tcBorders/>
            <w:vAlign w:val="center"/>
          </w:tcPr>
          <w:p>
            <w:pPr>
              <w:pStyle w:val="TableContents"/>
              <w:bidi w:val="0"/>
              <w:spacing w:before="0" w:after="283"/>
              <w:jc w:val="left"/>
              <w:rPr>
                <w:sz w:val="4"/>
                <w:szCs w:val="4"/>
              </w:rPr>
            </w:pPr>
            <w:r>
              <w:rPr>
                <w:sz w:val="4"/>
                <w:szCs w:val="4"/>
              </w:rPr>
            </w:r>
          </w:p>
        </w:tc>
        <w:tc>
          <w:tcPr>
            <w:tcW w:w="49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49" w:type="dxa"/>
            <w:tcBorders/>
            <w:vAlign w:val="center"/>
          </w:tcPr>
          <w:p>
            <w:pPr>
              <w:pStyle w:val="TableContents"/>
              <w:bidi w:val="0"/>
              <w:spacing w:before="0" w:after="283"/>
              <w:jc w:val="left"/>
              <w:rPr>
                <w:sz w:val="4"/>
                <w:szCs w:val="4"/>
              </w:rPr>
            </w:pPr>
            <w:r>
              <w:rPr>
                <w:sz w:val="4"/>
                <w:szCs w:val="4"/>
              </w:rPr>
            </w:r>
          </w:p>
        </w:tc>
        <w:tc>
          <w:tcPr>
            <w:tcW w:w="397"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c>
          <w:tcPr>
            <w:tcW w:w="358"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c>
          <w:tcPr>
            <w:tcW w:w="534" w:type="dxa"/>
            <w:tcBorders/>
            <w:vAlign w:val="center"/>
          </w:tcPr>
          <w:p>
            <w:pPr>
              <w:pStyle w:val="TableContents"/>
              <w:bidi w:val="0"/>
              <w:spacing w:before="0" w:after="283"/>
              <w:ind w:left="0" w:right="0" w:hanging="180"/>
              <w:jc w:val="left"/>
              <w:rPr>
                <w:sz w:val="4"/>
                <w:szCs w:val="4"/>
              </w:rPr>
            </w:pPr>
            <w:r>
              <w:rPr>
                <w:sz w:val="4"/>
                <w:szCs w:val="4"/>
              </w:rPr>
            </w:r>
          </w:p>
        </w:tc>
      </w:tr>
      <w:tr>
        <w:trPr/>
        <w:tc>
          <w:tcPr>
            <w:tcW w:w="195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8"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pPr>
            <w:r>
              <w:rPr>
                <w:rFonts w:ascii="Trade Gothic;sans-serif" w:hAnsi="Trade Gothic;sans-serif"/>
                <w:b/>
                <w:color w:val="000000"/>
                <w:sz w:val="16"/>
              </w:rPr>
              <w:t>Beneficial Ownership After this Offering</w:t>
            </w:r>
            <w:r>
              <w:rPr>
                <w:rFonts w:ascii="Trade Gothic;sans-serif" w:hAnsi="Trade Gothic;sans-serif"/>
                <w:b/>
                <w:color w:val="000000"/>
                <w:sz w:val="10"/>
              </w:rPr>
              <w:t>(3)</w:t>
            </w:r>
          </w:p>
        </w:tc>
      </w:tr>
      <w:tr>
        <w:trPr/>
        <w:tc>
          <w:tcPr>
            <w:tcW w:w="1957"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0"/>
              <w:ind w:left="0" w:right="0" w:hanging="180"/>
              <w:jc w:val="left"/>
              <w:rPr/>
            </w:pPr>
            <w:r>
              <w:rPr>
                <w:rFonts w:ascii="Trade Gothic;sans-serif" w:hAnsi="Trade Gothic;sans-serif"/>
                <w:b/>
                <w:color w:val="000000"/>
                <w:sz w:val="16"/>
              </w:rPr>
              <w:t>Name</w:t>
            </w:r>
            <w:r>
              <w:rPr>
                <w:rFonts w:ascii="Trade Gothic;sans-serif" w:hAnsi="Trade Gothic;sans-serif"/>
                <w:b/>
                <w:color w:val="000000"/>
                <w:sz w:val="10"/>
              </w:rPr>
              <w:t>(1)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rade Gothic;sans-serif" w:hAnsi="Trade Gothic;sans-serif"/>
                <w:b/>
                <w:color w:val="000000"/>
                <w:sz w:val="16"/>
              </w:rPr>
            </w:pPr>
            <w:r>
              <w:rPr>
                <w:rFonts w:ascii="Trade Gothic;sans-serif" w:hAnsi="Trade Gothic;sans-serif"/>
                <w:b/>
                <w:color w:val="000000"/>
                <w:sz w:val="16"/>
              </w:rPr>
              <w:t>Shares of Common Stock Beneficially Owned Prior to this Offering</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8"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rade Gothic;sans-serif" w:hAnsi="Trade Gothic;sans-serif"/>
                <w:b/>
                <w:color w:val="000000"/>
                <w:sz w:val="16"/>
              </w:rPr>
            </w:pPr>
            <w:r>
              <w:rPr>
                <w:rFonts w:ascii="Trade Gothic;sans-serif" w:hAnsi="Trade Gothic;sans-serif"/>
                <w:b/>
                <w:color w:val="000000"/>
                <w:sz w:val="16"/>
              </w:rPr>
              <w:t>Shares of Common Stock Offered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8"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rade Gothic;sans-serif" w:hAnsi="Trade Gothic;sans-serif"/>
                <w:b/>
                <w:color w:val="000000"/>
                <w:sz w:val="16"/>
              </w:rPr>
            </w:pPr>
            <w:r>
              <w:rPr>
                <w:rFonts w:ascii="Trade Gothic;sans-serif" w:hAnsi="Trade Gothic;sans-serif"/>
                <w:b/>
                <w:color w:val="000000"/>
                <w:sz w:val="16"/>
              </w:rPr>
              <w:t>Shares</w:t>
            </w:r>
          </w:p>
        </w:tc>
        <w:tc>
          <w:tcPr>
            <w:tcW w:w="51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0"/>
              <w:jc w:val="center"/>
              <w:rPr/>
            </w:pPr>
            <w:r>
              <w:rPr>
                <w:rFonts w:ascii="Trade Gothic;sans-serif" w:hAnsi="Trade Gothic;sans-serif"/>
                <w:b/>
                <w:color w:val="000000"/>
                <w:sz w:val="16"/>
              </w:rPr>
              <w:t>%</w:t>
            </w:r>
            <w:r>
              <w:rPr>
                <w:rFonts w:ascii="Trade Gothic;sans-serif" w:hAnsi="Trade Gothic;sans-serif"/>
                <w:b/>
                <w:color w:val="000000"/>
                <w:sz w:val="10"/>
              </w:rPr>
              <w:t>(2)</w:t>
            </w:r>
          </w:p>
        </w:tc>
      </w:tr>
      <w:tr>
        <w:trPr/>
        <w:tc>
          <w:tcPr>
            <w:tcW w:w="1957"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ind w:left="0" w:right="0" w:hanging="180"/>
              <w:jc w:val="left"/>
              <w:rPr/>
            </w:pPr>
            <w:r>
              <w:rPr>
                <w:rFonts w:ascii="Trade Gothic;sans-serif" w:hAnsi="Trade Gothic;sans-serif"/>
                <w:b w:val="false"/>
                <w:color w:val="000000"/>
                <w:sz w:val="19"/>
              </w:rPr>
              <w:t>Entities affiliated with Longitude Capital</w:t>
            </w:r>
            <w:r>
              <w:rPr>
                <w:rFonts w:ascii="Trade Gothic;sans-serif" w:hAnsi="Trade Gothic;sans-serif"/>
                <w:b w:val="false"/>
                <w:color w:val="000000"/>
                <w:sz w:val="12"/>
              </w:rPr>
              <w:t>(4)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8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rade Gothic;sans-serif" w:hAnsi="Trade Gothic;sans-serif"/>
                <w:b w:val="false"/>
                <w:color w:val="000000"/>
                <w:sz w:val="19"/>
              </w:rPr>
            </w:pPr>
            <w:r>
              <w:rPr>
                <w:rFonts w:ascii="Trade Gothic;sans-serif" w:hAnsi="Trade Gothic;sans-serif"/>
                <w:b w:val="false"/>
                <w:color w:val="000000"/>
                <w:sz w:val="19"/>
              </w:rPr>
              <w:t>4,653,873 </w:t>
            </w:r>
          </w:p>
        </w:tc>
        <w:tc>
          <w:tcPr>
            <w:tcW w:w="81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rade Gothic;sans-serif" w:hAnsi="Trade Gothic;sans-serif"/>
                <w:b w:val="false"/>
                <w:color w:val="000000"/>
                <w:sz w:val="19"/>
              </w:rPr>
            </w:pPr>
            <w:r>
              <w:rPr>
                <w:rFonts w:ascii="Trade Gothic;sans-serif" w:hAnsi="Trade Gothic;sans-serif"/>
                <w:b w:val="false"/>
                <w:color w:val="000000"/>
                <w:sz w:val="19"/>
              </w:rPr>
              <w:t>4,653,873 </w:t>
            </w:r>
          </w:p>
        </w:tc>
        <w:tc>
          <w:tcPr>
            <w:tcW w:w="49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3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57"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pPr>
            <w:r>
              <w:rPr>
                <w:rFonts w:ascii="Trade Gothic;sans-serif" w:hAnsi="Trade Gothic;sans-serif"/>
                <w:b w:val="false"/>
                <w:color w:val="000000"/>
                <w:sz w:val="19"/>
              </w:rPr>
              <w:t>Entities affiliated with Montanova</w:t>
            </w:r>
            <w:r>
              <w:rPr>
                <w:rFonts w:ascii="Trade Gothic;sans-serif" w:hAnsi="Trade Gothic;sans-serif"/>
                <w:b w:val="false"/>
                <w:color w:val="000000"/>
                <w:sz w:val="12"/>
              </w:rPr>
              <w:t>(5)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rade Gothic;sans-serif" w:hAnsi="Trade Gothic;sans-serif"/>
                <w:b w:val="false"/>
                <w:color w:val="000000"/>
                <w:sz w:val="19"/>
              </w:rPr>
            </w:pPr>
            <w:r>
              <w:rPr>
                <w:rFonts w:ascii="Trade Gothic;sans-serif" w:hAnsi="Trade Gothic;sans-serif"/>
                <w:b w:val="false"/>
                <w:color w:val="000000"/>
                <w:sz w:val="19"/>
              </w:rPr>
              <w:t>4,468,970 </w:t>
            </w:r>
          </w:p>
        </w:tc>
        <w:tc>
          <w:tcPr>
            <w:tcW w:w="8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rade Gothic;sans-serif" w:hAnsi="Trade Gothic;sans-serif"/>
                <w:b w:val="false"/>
                <w:color w:val="000000"/>
                <w:sz w:val="19"/>
              </w:rPr>
            </w:pPr>
            <w:r>
              <w:rPr>
                <w:rFonts w:ascii="Trade Gothic;sans-serif" w:hAnsi="Trade Gothic;sans-serif"/>
                <w:b w:val="false"/>
                <w:color w:val="000000"/>
                <w:sz w:val="19"/>
              </w:rPr>
              <w:t>4,468,970 </w:t>
            </w:r>
          </w:p>
        </w:tc>
        <w:tc>
          <w:tcPr>
            <w:tcW w:w="49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57"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pPr>
            <w:r>
              <w:rPr>
                <w:rFonts w:ascii="Trade Gothic;sans-serif" w:hAnsi="Trade Gothic;sans-serif"/>
                <w:b w:val="false"/>
                <w:color w:val="000000"/>
                <w:sz w:val="19"/>
              </w:rPr>
              <w:t>Entities affiliated with SR One</w:t>
            </w:r>
            <w:r>
              <w:rPr>
                <w:rFonts w:ascii="Trade Gothic;sans-serif" w:hAnsi="Trade Gothic;sans-serif"/>
                <w:b w:val="false"/>
                <w:color w:val="000000"/>
                <w:sz w:val="12"/>
              </w:rPr>
              <w:t>(6)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rade Gothic;sans-serif" w:hAnsi="Trade Gothic;sans-serif"/>
                <w:b w:val="false"/>
                <w:color w:val="000000"/>
                <w:sz w:val="19"/>
              </w:rPr>
            </w:pPr>
            <w:r>
              <w:rPr>
                <w:rFonts w:ascii="Trade Gothic;sans-serif" w:hAnsi="Trade Gothic;sans-serif"/>
                <w:b w:val="false"/>
                <w:color w:val="000000"/>
                <w:sz w:val="19"/>
              </w:rPr>
              <w:t>2,401,868 </w:t>
            </w:r>
          </w:p>
        </w:tc>
        <w:tc>
          <w:tcPr>
            <w:tcW w:w="8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rade Gothic;sans-serif" w:hAnsi="Trade Gothic;sans-serif"/>
                <w:b w:val="false"/>
                <w:color w:val="000000"/>
                <w:sz w:val="19"/>
              </w:rPr>
            </w:pPr>
            <w:r>
              <w:rPr>
                <w:rFonts w:ascii="Trade Gothic;sans-serif" w:hAnsi="Trade Gothic;sans-serif"/>
                <w:b w:val="false"/>
                <w:color w:val="000000"/>
                <w:sz w:val="19"/>
              </w:rPr>
              <w:t>2,401,868 </w:t>
            </w:r>
          </w:p>
        </w:tc>
        <w:tc>
          <w:tcPr>
            <w:tcW w:w="49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57"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pPr>
            <w:r>
              <w:rPr>
                <w:rFonts w:ascii="Trade Gothic;sans-serif" w:hAnsi="Trade Gothic;sans-serif"/>
                <w:b w:val="false"/>
                <w:color w:val="000000"/>
                <w:sz w:val="19"/>
              </w:rPr>
              <w:t>Entities affiliated with J.W. Childs Associates</w:t>
            </w:r>
            <w:r>
              <w:rPr>
                <w:rFonts w:ascii="Trade Gothic;sans-serif" w:hAnsi="Trade Gothic;sans-serif"/>
                <w:b w:val="false"/>
                <w:color w:val="000000"/>
                <w:sz w:val="12"/>
              </w:rPr>
              <w:t>(7)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rade Gothic;sans-serif" w:hAnsi="Trade Gothic;sans-serif"/>
                <w:b w:val="false"/>
                <w:color w:val="000000"/>
                <w:sz w:val="19"/>
              </w:rPr>
            </w:pPr>
            <w:r>
              <w:rPr>
                <w:rFonts w:ascii="Trade Gothic;sans-serif" w:hAnsi="Trade Gothic;sans-serif"/>
                <w:b w:val="false"/>
                <w:color w:val="000000"/>
                <w:sz w:val="19"/>
              </w:rPr>
              <w:t>2,202,006 </w:t>
            </w:r>
          </w:p>
        </w:tc>
        <w:tc>
          <w:tcPr>
            <w:tcW w:w="8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rade Gothic;sans-serif" w:hAnsi="Trade Gothic;sans-serif"/>
                <w:b w:val="false"/>
                <w:color w:val="000000"/>
                <w:sz w:val="19"/>
              </w:rPr>
            </w:pPr>
            <w:r>
              <w:rPr>
                <w:rFonts w:ascii="Trade Gothic;sans-serif" w:hAnsi="Trade Gothic;sans-serif"/>
                <w:b w:val="false"/>
                <w:color w:val="000000"/>
                <w:sz w:val="19"/>
              </w:rPr>
              <w:t>2,202,006 </w:t>
            </w:r>
          </w:p>
        </w:tc>
        <w:tc>
          <w:tcPr>
            <w:tcW w:w="49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57"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pPr>
            <w:r>
              <w:rPr>
                <w:rFonts w:ascii="Trade Gothic;sans-serif" w:hAnsi="Trade Gothic;sans-serif"/>
                <w:b w:val="false"/>
                <w:color w:val="000000"/>
                <w:sz w:val="19"/>
              </w:rPr>
              <w:t>Reid Waldman, M.D.</w:t>
            </w:r>
            <w:r>
              <w:rPr>
                <w:rFonts w:ascii="Trade Gothic;sans-serif" w:hAnsi="Trade Gothic;sans-serif"/>
                <w:b w:val="false"/>
                <w:color w:val="000000"/>
                <w:sz w:val="12"/>
              </w:rPr>
              <w:t>(8)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rade Gothic;sans-serif" w:hAnsi="Trade Gothic;sans-serif"/>
                <w:b w:val="false"/>
                <w:color w:val="000000"/>
                <w:sz w:val="19"/>
              </w:rPr>
            </w:pPr>
            <w:r>
              <w:rPr>
                <w:rFonts w:ascii="Trade Gothic;sans-serif" w:hAnsi="Trade Gothic;sans-serif"/>
                <w:b w:val="false"/>
                <w:color w:val="000000"/>
                <w:sz w:val="19"/>
              </w:rPr>
              <w:t>930,294 </w:t>
            </w:r>
          </w:p>
        </w:tc>
        <w:tc>
          <w:tcPr>
            <w:tcW w:w="8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rade Gothic;sans-serif" w:hAnsi="Trade Gothic;sans-serif"/>
                <w:b w:val="false"/>
                <w:color w:val="000000"/>
                <w:sz w:val="19"/>
              </w:rPr>
            </w:pPr>
            <w:r>
              <w:rPr>
                <w:rFonts w:ascii="Trade Gothic;sans-serif" w:hAnsi="Trade Gothic;sans-serif"/>
                <w:b w:val="false"/>
                <w:color w:val="000000"/>
                <w:sz w:val="19"/>
              </w:rPr>
              <w:t>234,908 </w:t>
            </w:r>
          </w:p>
        </w:tc>
        <w:tc>
          <w:tcPr>
            <w:tcW w:w="49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rade Gothic;sans-serif" w:hAnsi="Trade Gothic;sans-serif"/>
                <w:b w:val="false"/>
                <w:color w:val="000000"/>
                <w:sz w:val="19"/>
              </w:rPr>
            </w:pPr>
            <w:r>
              <w:rPr>
                <w:rFonts w:ascii="Trade Gothic;sans-serif" w:hAnsi="Trade Gothic;sans-serif"/>
                <w:b w:val="false"/>
                <w:color w:val="000000"/>
                <w:sz w:val="19"/>
              </w:rPr>
              <w:t>695,386 </w:t>
            </w:r>
          </w:p>
        </w:tc>
        <w:tc>
          <w:tcPr>
            <w:tcW w:w="1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rade Gothic;sans-serif" w:hAnsi="Trade Gothic;sans-serif"/>
                <w:b w:val="false"/>
                <w:color w:val="000000"/>
                <w:sz w:val="19"/>
              </w:rPr>
            </w:pPr>
            <w:r>
              <w:rPr>
                <w:rFonts w:ascii="Trade Gothic;sans-serif" w:hAnsi="Trade Gothic;sans-serif"/>
                <w:b w:val="false"/>
                <w:color w:val="000000"/>
                <w:sz w:val="19"/>
              </w:rPr>
              <w:t>1.7 </w:t>
            </w:r>
          </w:p>
        </w:tc>
        <w:tc>
          <w:tcPr>
            <w:tcW w:w="53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rade Gothic;sans-serif" w:hAnsi="Trade Gothic;sans-serif"/>
                <w:b w:val="false"/>
                <w:color w:val="000000"/>
                <w:sz w:val="19"/>
              </w:rPr>
            </w:pPr>
            <w:r>
              <w:rPr>
                <w:rFonts w:ascii="Trade Gothic;sans-serif" w:hAnsi="Trade Gothic;sans-serif"/>
                <w:b w:val="false"/>
                <w:color w:val="000000"/>
                <w:sz w:val="19"/>
              </w:rPr>
              <w:t>%</w:t>
            </w:r>
          </w:p>
        </w:tc>
      </w:tr>
      <w:tr>
        <w:trPr/>
        <w:tc>
          <w:tcPr>
            <w:tcW w:w="1957"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pPr>
            <w:r>
              <w:rPr>
                <w:rFonts w:ascii="Trade Gothic;sans-serif" w:hAnsi="Trade Gothic;sans-serif"/>
                <w:b w:val="false"/>
                <w:color w:val="000000"/>
                <w:sz w:val="19"/>
              </w:rPr>
              <w:t>Timothy Durso, M.D.</w:t>
            </w:r>
            <w:r>
              <w:rPr>
                <w:rFonts w:ascii="Trade Gothic;sans-serif" w:hAnsi="Trade Gothic;sans-serif"/>
                <w:b w:val="false"/>
                <w:color w:val="000000"/>
                <w:sz w:val="12"/>
              </w:rPr>
              <w:t>(9)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rade Gothic;sans-serif" w:hAnsi="Trade Gothic;sans-serif"/>
                <w:b w:val="false"/>
                <w:color w:val="000000"/>
                <w:sz w:val="19"/>
              </w:rPr>
            </w:pPr>
            <w:r>
              <w:rPr>
                <w:rFonts w:ascii="Trade Gothic;sans-serif" w:hAnsi="Trade Gothic;sans-serif"/>
                <w:b w:val="false"/>
                <w:color w:val="000000"/>
                <w:sz w:val="19"/>
              </w:rPr>
              <w:t>590,159 </w:t>
            </w:r>
          </w:p>
        </w:tc>
        <w:tc>
          <w:tcPr>
            <w:tcW w:w="8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rade Gothic;sans-serif" w:hAnsi="Trade Gothic;sans-serif"/>
                <w:b w:val="false"/>
                <w:color w:val="000000"/>
                <w:sz w:val="19"/>
              </w:rPr>
            </w:pPr>
            <w:r>
              <w:rPr>
                <w:rFonts w:ascii="Trade Gothic;sans-serif" w:hAnsi="Trade Gothic;sans-serif"/>
                <w:b w:val="false"/>
                <w:color w:val="000000"/>
                <w:sz w:val="19"/>
              </w:rPr>
              <w:t>234,907 </w:t>
            </w:r>
          </w:p>
        </w:tc>
        <w:tc>
          <w:tcPr>
            <w:tcW w:w="49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rade Gothic;sans-serif" w:hAnsi="Trade Gothic;sans-serif"/>
                <w:b w:val="false"/>
                <w:color w:val="000000"/>
                <w:sz w:val="19"/>
              </w:rPr>
            </w:pPr>
            <w:r>
              <w:rPr>
                <w:rFonts w:ascii="Trade Gothic;sans-serif" w:hAnsi="Trade Gothic;sans-serif"/>
                <w:b w:val="false"/>
                <w:color w:val="000000"/>
                <w:sz w:val="19"/>
              </w:rPr>
              <w:t>355,252 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rade Gothic;sans-serif" w:hAnsi="Trade Gothic;sans-serif"/>
                <w:b w:val="false"/>
                <w:color w:val="000000"/>
                <w:sz w:val="19"/>
              </w:rPr>
            </w:pPr>
            <w:r>
              <w:rPr>
                <w:rFonts w:ascii="Trade Gothic;sans-serif" w:hAnsi="Trade Gothic;sans-serif"/>
                <w:b w:val="false"/>
                <w:color w:val="000000"/>
                <w:sz w:val="19"/>
              </w:rPr>
              <w:t>*</w:t>
            </w:r>
          </w:p>
        </w:tc>
      </w:tr>
      <w:tr>
        <w:trPr/>
        <w:tc>
          <w:tcPr>
            <w:tcW w:w="1957"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pPr>
            <w:r>
              <w:rPr>
                <w:rFonts w:ascii="Trade Gothic;sans-serif" w:hAnsi="Trade Gothic;sans-serif"/>
                <w:b w:val="false"/>
                <w:color w:val="000000"/>
                <w:sz w:val="19"/>
              </w:rPr>
              <w:t>John W. Childs</w:t>
            </w:r>
            <w:r>
              <w:rPr>
                <w:rFonts w:ascii="Trade Gothic;sans-serif" w:hAnsi="Trade Gothic;sans-serif"/>
                <w:b w:val="false"/>
                <w:color w:val="000000"/>
                <w:sz w:val="12"/>
              </w:rPr>
              <w:t>(7)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rade Gothic;sans-serif" w:hAnsi="Trade Gothic;sans-serif"/>
                <w:b w:val="false"/>
                <w:color w:val="000000"/>
                <w:sz w:val="19"/>
              </w:rPr>
            </w:pPr>
            <w:r>
              <w:rPr>
                <w:rFonts w:ascii="Trade Gothic;sans-serif" w:hAnsi="Trade Gothic;sans-serif"/>
                <w:b w:val="false"/>
                <w:color w:val="000000"/>
                <w:sz w:val="19"/>
              </w:rPr>
              <w:t>2,202,006 </w:t>
            </w:r>
          </w:p>
        </w:tc>
        <w:tc>
          <w:tcPr>
            <w:tcW w:w="8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rade Gothic;sans-serif" w:hAnsi="Trade Gothic;sans-serif"/>
                <w:b w:val="false"/>
                <w:color w:val="000000"/>
                <w:sz w:val="19"/>
              </w:rPr>
            </w:pPr>
            <w:r>
              <w:rPr>
                <w:rFonts w:ascii="Trade Gothic;sans-serif" w:hAnsi="Trade Gothic;sans-serif"/>
                <w:b w:val="false"/>
                <w:color w:val="000000"/>
                <w:sz w:val="19"/>
              </w:rPr>
              <w:t>2,202,006 </w:t>
            </w:r>
          </w:p>
        </w:tc>
        <w:tc>
          <w:tcPr>
            <w:tcW w:w="49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57"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pPr>
            <w:r>
              <w:rPr>
                <w:rFonts w:ascii="Trade Gothic;sans-serif" w:hAnsi="Trade Gothic;sans-serif"/>
                <w:b w:val="false"/>
                <w:color w:val="000000"/>
                <w:sz w:val="19"/>
              </w:rPr>
              <w:t>Vlad Coric, M.D.</w:t>
            </w:r>
            <w:r>
              <w:rPr>
                <w:rFonts w:ascii="Trade Gothic;sans-serif" w:hAnsi="Trade Gothic;sans-serif"/>
                <w:b w:val="false"/>
                <w:color w:val="000000"/>
                <w:sz w:val="12"/>
              </w:rPr>
              <w:t>(10)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rade Gothic;sans-serif" w:hAnsi="Trade Gothic;sans-serif"/>
                <w:b w:val="false"/>
                <w:color w:val="000000"/>
                <w:sz w:val="19"/>
              </w:rPr>
            </w:pPr>
            <w:r>
              <w:rPr>
                <w:rFonts w:ascii="Trade Gothic;sans-serif" w:hAnsi="Trade Gothic;sans-serif"/>
                <w:b w:val="false"/>
                <w:color w:val="000000"/>
                <w:sz w:val="19"/>
              </w:rPr>
              <w:t>655,488 </w:t>
            </w:r>
          </w:p>
        </w:tc>
        <w:tc>
          <w:tcPr>
            <w:tcW w:w="8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rade Gothic;sans-serif" w:hAnsi="Trade Gothic;sans-serif"/>
                <w:b w:val="false"/>
                <w:color w:val="000000"/>
                <w:sz w:val="19"/>
              </w:rPr>
            </w:pPr>
            <w:r>
              <w:rPr>
                <w:rFonts w:ascii="Trade Gothic;sans-serif" w:hAnsi="Trade Gothic;sans-serif"/>
                <w:b w:val="false"/>
                <w:color w:val="000000"/>
                <w:sz w:val="19"/>
              </w:rPr>
              <w:t>651,089 </w:t>
            </w:r>
          </w:p>
        </w:tc>
        <w:tc>
          <w:tcPr>
            <w:tcW w:w="49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rade Gothic;sans-serif" w:hAnsi="Trade Gothic;sans-serif"/>
                <w:b w:val="false"/>
                <w:color w:val="000000"/>
                <w:sz w:val="19"/>
              </w:rPr>
            </w:pPr>
            <w:r>
              <w:rPr>
                <w:rFonts w:ascii="Trade Gothic;sans-serif" w:hAnsi="Trade Gothic;sans-serif"/>
                <w:b w:val="false"/>
                <w:color w:val="000000"/>
                <w:sz w:val="19"/>
              </w:rPr>
              <w:t>4,399 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rade Gothic;sans-serif" w:hAnsi="Trade Gothic;sans-serif"/>
                <w:b w:val="false"/>
                <w:color w:val="000000"/>
                <w:sz w:val="19"/>
              </w:rPr>
            </w:pPr>
            <w:r>
              <w:rPr>
                <w:rFonts w:ascii="Trade Gothic;sans-serif" w:hAnsi="Trade Gothic;sans-serif"/>
                <w:b w:val="false"/>
                <w:color w:val="000000"/>
                <w:sz w:val="19"/>
              </w:rPr>
              <w:t>*</w:t>
            </w:r>
          </w:p>
        </w:tc>
      </w:tr>
      <w:tr>
        <w:trPr/>
        <w:tc>
          <w:tcPr>
            <w:tcW w:w="1957"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pPr>
            <w:r>
              <w:rPr>
                <w:rFonts w:ascii="Trade Gothic;sans-serif" w:hAnsi="Trade Gothic;sans-serif"/>
                <w:b w:val="false"/>
                <w:color w:val="000000"/>
                <w:sz w:val="19"/>
              </w:rPr>
              <w:t>Jane Grant-Kels, M.D.</w:t>
            </w:r>
            <w:r>
              <w:rPr>
                <w:rFonts w:ascii="Trade Gothic;sans-serif" w:hAnsi="Trade Gothic;sans-serif"/>
                <w:b w:val="false"/>
                <w:color w:val="000000"/>
                <w:sz w:val="12"/>
              </w:rPr>
              <w:t>(11)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rade Gothic;sans-serif" w:hAnsi="Trade Gothic;sans-serif"/>
                <w:b w:val="false"/>
                <w:color w:val="000000"/>
                <w:sz w:val="19"/>
              </w:rPr>
            </w:pPr>
            <w:r>
              <w:rPr>
                <w:rFonts w:ascii="Trade Gothic;sans-serif" w:hAnsi="Trade Gothic;sans-serif"/>
                <w:b w:val="false"/>
                <w:color w:val="000000"/>
                <w:sz w:val="19"/>
              </w:rPr>
              <w:t>22,431 </w:t>
            </w:r>
          </w:p>
        </w:tc>
        <w:tc>
          <w:tcPr>
            <w:tcW w:w="8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rade Gothic;sans-serif" w:hAnsi="Trade Gothic;sans-serif"/>
                <w:b w:val="false"/>
                <w:color w:val="000000"/>
                <w:sz w:val="19"/>
              </w:rPr>
            </w:pPr>
            <w:r>
              <w:rPr>
                <w:rFonts w:ascii="Trade Gothic;sans-serif" w:hAnsi="Trade Gothic;sans-serif"/>
                <w:b w:val="false"/>
                <w:color w:val="000000"/>
                <w:sz w:val="19"/>
              </w:rPr>
              <w:t>22,431 </w:t>
            </w:r>
          </w:p>
        </w:tc>
        <w:tc>
          <w:tcPr>
            <w:tcW w:w="49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5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701"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868"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118"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516"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360"/>
        <w:jc w:val="left"/>
        <w:rPr>
          <w:rFonts w:ascii="Trade Gothic;sans-serif" w:hAnsi="Trade Gothic;sans-serif"/>
          <w:b w:val="false"/>
          <w:color w:val="000000"/>
          <w:sz w:val="16"/>
        </w:rPr>
      </w:pPr>
      <w:r>
        <w:rPr>
          <w:rFonts w:ascii="Trade Gothic;sans-serif" w:hAnsi="Trade Gothic;sans-serif"/>
          <w:b w:val="false"/>
          <w:color w:val="000000"/>
          <w:sz w:val="16"/>
        </w:rPr>
        <w:t>*Represents beneficial ownership of less than one percent.</w:t>
      </w:r>
    </w:p>
    <w:p>
      <w:pPr>
        <w:pStyle w:val="TextBody"/>
        <w:bidi w:val="0"/>
        <w:spacing w:lineRule="auto" w:line="288" w:before="0" w:after="0"/>
        <w:ind w:left="0" w:right="0" w:hanging="360"/>
        <w:jc w:val="left"/>
        <w:rPr>
          <w:rFonts w:ascii="Trade Gothic;sans-serif" w:hAnsi="Trade Gothic;sans-serif"/>
          <w:b w:val="false"/>
          <w:color w:val="000000"/>
          <w:sz w:val="16"/>
        </w:rPr>
      </w:pPr>
      <w:r>
        <w:rPr>
          <w:rFonts w:ascii="Trade Gothic;sans-serif" w:hAnsi="Trade Gothic;sans-serif"/>
          <w:b w:val="false"/>
          <w:color w:val="000000"/>
          <w:sz w:val="16"/>
        </w:rPr>
        <w:t>(1)All information regarding selling stockholders was provided by the selling stockholders.</w:t>
      </w:r>
    </w:p>
    <w:p>
      <w:pPr>
        <w:pStyle w:val="TextBody"/>
        <w:bidi w:val="0"/>
        <w:spacing w:lineRule="auto" w:line="288" w:before="0" w:after="0"/>
        <w:ind w:left="0" w:right="0" w:hanging="360"/>
        <w:jc w:val="left"/>
        <w:rPr>
          <w:rFonts w:ascii="Trade Gothic;sans-serif" w:hAnsi="Trade Gothic;sans-serif"/>
          <w:b w:val="false"/>
          <w:color w:val="000000"/>
          <w:sz w:val="16"/>
        </w:rPr>
      </w:pPr>
      <w:r>
        <w:rPr>
          <w:rFonts w:ascii="Trade Gothic;sans-serif" w:hAnsi="Trade Gothic;sans-serif"/>
          <w:b w:val="false"/>
          <w:color w:val="000000"/>
          <w:sz w:val="16"/>
        </w:rPr>
        <w:t>(2)Percentage ownership is based on a denominator equal to the sum of (i) 41,780,136 shares of common stock outstanding as of August 6, 2026 and (ii) the number of shares of common stock issuable upon exercise or conversion of convertible securities beneficially owned by the applicable selling stockholder.</w:t>
      </w:r>
    </w:p>
    <w:p>
      <w:pPr>
        <w:pStyle w:val="TextBody"/>
        <w:bidi w:val="0"/>
        <w:spacing w:lineRule="auto" w:line="288" w:before="0" w:after="0"/>
        <w:ind w:left="0" w:right="0" w:hanging="360"/>
        <w:jc w:val="left"/>
        <w:rPr>
          <w:rFonts w:ascii="Trade Gothic;sans-serif" w:hAnsi="Trade Gothic;sans-serif"/>
          <w:b w:val="false"/>
          <w:color w:val="000000"/>
          <w:sz w:val="16"/>
        </w:rPr>
      </w:pPr>
      <w:r>
        <w:rPr>
          <w:rFonts w:ascii="Trade Gothic;sans-serif" w:hAnsi="Trade Gothic;sans-serif"/>
          <w:b w:val="false"/>
          <w:color w:val="000000"/>
          <w:sz w:val="16"/>
        </w:rPr>
        <w:t>(3)Assumes that all shares of common stock being registered under the registration statement of which this prospectus forms a part are sold in this offering, and that none of the selling stockholders acquire additional shares of our common stock after the date of this prospectus and prior to completion of this offering.</w:t>
      </w:r>
    </w:p>
    <w:p>
      <w:pPr>
        <w:pStyle w:val="TextBody"/>
        <w:bidi w:val="0"/>
        <w:spacing w:lineRule="auto" w:line="288" w:before="0" w:after="0"/>
        <w:ind w:left="0" w:right="0" w:hanging="360"/>
        <w:jc w:val="left"/>
        <w:rPr>
          <w:rFonts w:ascii="Trade Gothic;sans-serif" w:hAnsi="Trade Gothic;sans-serif"/>
          <w:b w:val="false"/>
          <w:color w:val="000000"/>
          <w:sz w:val="16"/>
        </w:rPr>
      </w:pPr>
      <w:r>
        <w:rPr>
          <w:rFonts w:ascii="Trade Gothic;sans-serif" w:hAnsi="Trade Gothic;sans-serif"/>
          <w:b w:val="false"/>
          <w:color w:val="000000"/>
          <w:sz w:val="16"/>
        </w:rPr>
        <w:t>(4)The shares reported under “Shares of Common Stock Beneficially Owned Prior to this Offering” consist of (i) 2,600,399 shares of common stock held by Longitude Venture Partners V, L.P., or LVPV and (ii) 2,053,474 shares of common stock held by Longitude 103.8 East, L.P., or L103. Longitude Capital Partners V, LLC, or LCPV is the general partner of LVPV and may be deemed to have voting, investment and dispositive power with respect to these securities. Longitude 103.8 East Partners, LLC, or L103P is the general partner of L103 and may be deemed to have voting, investment and dispositive power with respect to these securities. Patrick G. Enright, a member of our Board, and Juliet Tammenoms Bakker are the managing members of each of LCPV and L103P, and may each be deemed to share voting, investment and dispositive power with respect to these securities. Each of LVPV, LCPV, L103, L103P, Mr. Enright and Ms. Tammenoms Bakker disclaims beneficial ownership of such securities except to the extent of their respective pecuniary interests therein. The address for these individuals and entities is 2740 Sand Hill Road, 2nd Floor, Menlo Park, CA 94025.</w:t>
      </w:r>
    </w:p>
    <w:p>
      <w:pPr>
        <w:pStyle w:val="TextBody"/>
        <w:bidi w:val="0"/>
        <w:spacing w:lineRule="auto" w:line="288" w:before="0" w:after="0"/>
        <w:ind w:left="0" w:right="0" w:hanging="360"/>
        <w:jc w:val="left"/>
        <w:rPr>
          <w:rFonts w:ascii="Trade Gothic;sans-serif" w:hAnsi="Trade Gothic;sans-serif"/>
          <w:b w:val="false"/>
          <w:color w:val="000000"/>
          <w:sz w:val="16"/>
        </w:rPr>
      </w:pPr>
      <w:r>
        <w:rPr>
          <w:rFonts w:ascii="Trade Gothic;sans-serif" w:hAnsi="Trade Gothic;sans-serif"/>
          <w:b w:val="false"/>
          <w:color w:val="000000"/>
          <w:sz w:val="16"/>
        </w:rPr>
        <w:t>(5)The shares reported under “Shares of Common Stock Beneficially Owned Prior to this Offering” consist of (i) 149,000 shares of common stock issuable upon exercise of the Pre-Funded Warrants held by Averill Master Fund, Ltd., or Averill Master Fund, (ii) 151,000 shares of common stock issuable upon exercise of the Pre-Funded Warrants held by Averill Madison Master Fund, Ltd., or Averill Madison Fund, (iii) 3,648,538 shares of common stock held by Averill Master Fund and (iv) 520,432 shares of common stock held by Averill Madison Fund. The Pre-Funded Warrants are subject to a beneficial ownership limitation whereby the holder cannot exercise any of the Pre-Funded Warrants to the extent that holder, together with the Attribution Parties, would beneficially own, immediately prior to or following any such exercise, more than 9.99% of the Company’s outstanding shares of common stock following such exercise. The number of shares of common stock in the column “Shares of Common Stock Offered” includes all of 300,000 shares of common stock issuable upon exercise of the Pre-Funded Warrants, without giving effect to such beneficial ownership limitation. Montanova Capital, LLC (“Montanova”) is the investment manager of the Averill Funds. Aaron Cowen is a control person of Montanova and as such may be deemed to beneficially own these shares. All indirect holders of the above-referenced shares disclaim beneficial ownership of all applicable shares except to the extent of their pecuniary interest therein. David Friedman, M.D., a member of our Board, is a Managing Director at Montanova. The principal business address of Montanova is 11 E. 26th St., 16th Floor, New York, NY 10010.</w:t>
      </w:r>
    </w:p>
    <w:p>
      <w:pPr>
        <w:pStyle w:val="TextBody"/>
        <w:bidi w:val="0"/>
        <w:spacing w:lineRule="auto" w:line="288" w:before="0" w:after="0"/>
        <w:ind w:left="0" w:right="0" w:hanging="360"/>
        <w:jc w:val="left"/>
        <w:rPr>
          <w:rFonts w:ascii="Trade Gothic;sans-serif" w:hAnsi="Trade Gothic;sans-serif"/>
          <w:b w:val="false"/>
          <w:color w:val="000000"/>
          <w:sz w:val="16"/>
        </w:rPr>
      </w:pPr>
      <w:r>
        <w:rPr>
          <w:rFonts w:ascii="Trade Gothic;sans-serif" w:hAnsi="Trade Gothic;sans-serif"/>
          <w:b w:val="false"/>
          <w:color w:val="000000"/>
          <w:sz w:val="16"/>
        </w:rPr>
        <w:t>(6)The shares reported under “Shares of Common Stock Beneficially Owned Prior to this Offering” consist of (i) 1,621,121 shares of common stock held by SR One Capital Fund II Aggregator, LP, or SR One Capital Fund II Aggregator and (ii) 780,747 shares of common stock held by AMZL, LP, or AMZL. SR One Capital Fund II Aggregator is directly controlled by its general partner, SR One Capital Partners II, LP, or SR One Capital Partners. AMZL is directly controlled by its general partner, SR One Capital SMA Partners, LP, or SMA Partners. SMA Partners and SR One Capital Partners are directly controlled by their general partners, SR One Capital Management, LLC, or SR One Capital Management, and Simeon George, M.D. controls SR One Capital Management. Accordingly, each of SR One Capital Management and Simeon George, M.D. may be deemed to have voting and dispositive power with respect to the 2,401,868 shares of common stock held of record by SR One Fund II Aggregator and AMZL. Katarina Pance, Ph.D. is a Principal at SR One Capital Management, LP, an entity affiliated with SR One Fund II Aggregator and AMZL, and a member of our board of directors, and has no voting or dispositive power with respect to any of the above referenced shares and disclaims beneficial ownership of such shares except to the extent of her actual pecuniary interest therein. All indirect holders of the above referenced shares disclaim beneficial ownership of all applicable shares except to the extent of their pecuniary interest therein. The address for these entities is 929 Main Street, Suite 200, Redwood City, California, 94063.</w:t>
      </w:r>
    </w:p>
    <w:p>
      <w:pPr>
        <w:pStyle w:val="TextBody"/>
        <w:bidi w:val="0"/>
        <w:spacing w:lineRule="auto" w:line="288"/>
        <w:ind w:left="0" w:right="0" w:hanging="360"/>
        <w:jc w:val="left"/>
        <w:rPr>
          <w:rFonts w:ascii="Trade Gothic;sans-serif" w:hAnsi="Trade Gothic;sans-serif"/>
          <w:b w:val="false"/>
          <w:color w:val="000000"/>
          <w:sz w:val="16"/>
        </w:rPr>
      </w:pPr>
      <w:r>
        <w:rPr>
          <w:rFonts w:ascii="Trade Gothic;sans-serif" w:hAnsi="Trade Gothic;sans-serif"/>
          <w:b w:val="false"/>
          <w:color w:val="000000"/>
          <w:sz w:val="16"/>
        </w:rPr>
        <w:t xml:space="preserve">(7)The shares reported under “Shares of Common Stock Beneficially Owned Prior to this Offering” consist of (i) 1,907,889 shares of common stock held by J.W. Childs Associates (FL), L.P. and (ii) 294,117 shares of common stock held by John W. Childs 2013 Revocable Trust. John W. Childs 2013 Revocable Trust is the sole owner of J.W. Childs Associates (FL), L.P. John W. Childs, a member of our Board, is Trustee of John W. Childs 2013 Revocable Trust and may be deemed to hold voting and dispositive power with respect to these securities. The principal business address of J.W. Childs Associates (FL), L.P. is 180 Lakeview Avenue, Suite 2500, West Palm Beach, FL 33401. </w:t>
      </w:r>
    </w:p>
    <w:p>
      <w:pPr>
        <w:pStyle w:val="TextBody"/>
        <w:bidi w:val="0"/>
        <w:spacing w:before="0" w:after="0"/>
        <w:jc w:val="right"/>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140335"/>
                <wp:effectExtent l="0" t="0" r="0" b="0"/>
                <wp:wrapNone/>
                <wp:docPr id="18" name="Frame17"/>
                <a:graphic xmlns:a="http://schemas.openxmlformats.org/drawingml/2006/main">
                  <a:graphicData uri="http://schemas.microsoft.com/office/word/2010/wordprocessingShape">
                    <wps:wsp>
                      <wps:cNvSpPr txBox="1"/>
                      <wps:spPr>
                        <a:xfrm>
                          <a:off x="0" y="0"/>
                          <a:ext cx="6480175" cy="140335"/>
                        </a:xfrm>
                        <a:prstGeom prst="rect"/>
                        <a:solidFill>
                          <a:srgbClr val="FFFFFF"/>
                        </a:solidFill>
                      </wps:spPr>
                      <wps:txbx>
                        <w:txbxContent>
                          <w:p>
                            <w:pPr>
                              <w:pStyle w:val="TextBody"/>
                              <w:bidi w:val="0"/>
                              <w:spacing w:lineRule="auto" w:line="288" w:before="0" w:after="180"/>
                              <w:jc w:val="center"/>
                              <w:rPr>
                                <w:rFonts w:ascii="Trade Gothic;sans-serif" w:hAnsi="Trade Gothic;sans-serif"/>
                                <w:b w:val="false"/>
                                <w:color w:val="000000"/>
                                <w:sz w:val="19"/>
                              </w:rPr>
                            </w:pPr>
                            <w:r>
                              <w:rPr>
                                <w:rFonts w:ascii="Trade Gothic;sans-serif" w:hAnsi="Trade Gothic;sans-serif"/>
                                <w:b w:val="false"/>
                                <w:color w:val="000000"/>
                                <w:sz w:val="19"/>
                              </w:rPr>
                              <w:t>14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0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180"/>
                        <w:jc w:val="center"/>
                        <w:rPr>
                          <w:rFonts w:ascii="Trade Gothic;sans-serif" w:hAnsi="Trade Gothic;sans-serif"/>
                          <w:b w:val="false"/>
                          <w:color w:val="000000"/>
                          <w:sz w:val="19"/>
                        </w:rPr>
                      </w:pPr>
                      <w:r>
                        <w:rPr>
                          <w:rFonts w:ascii="Trade Gothic;sans-serif" w:hAnsi="Trade Gothic;sans-serif"/>
                          <w:b w:val="false"/>
                          <w:color w:val="000000"/>
                          <w:sz w:val="19"/>
                        </w:rPr>
                        <w:t>14</w:t>
                      </w:r>
                    </w:p>
                  </w:txbxContent>
                </v:textbox>
                <w10:wrap type="none"/>
              </v:rect>
            </w:pict>
          </mc:Fallback>
        </mc:AlternateContent>
      </w:r>
    </w:p>
    <w:p>
      <w:pPr>
        <w:pStyle w:val="TextBody"/>
        <w:bidi w:val="0"/>
        <w:spacing w:lineRule="auto" w:line="288" w:before="0" w:after="0"/>
        <w:ind w:left="0" w:right="0" w:hanging="360"/>
        <w:jc w:val="left"/>
        <w:rPr>
          <w:rFonts w:ascii="Trade Gothic;sans-serif" w:hAnsi="Trade Gothic;sans-serif"/>
          <w:b w:val="false"/>
          <w:color w:val="000000"/>
          <w:sz w:val="16"/>
        </w:rPr>
      </w:pPr>
      <w:r>
        <w:rPr>
          <w:rFonts w:ascii="Trade Gothic;sans-serif" w:hAnsi="Trade Gothic;sans-serif"/>
          <w:b w:val="false"/>
          <w:color w:val="000000"/>
          <w:sz w:val="16"/>
        </w:rPr>
        <w:t>(8)The shares reported under “Shares of Common Stock Beneficially Owned Prior to this Offering” consist of (i) 234,908 shares of common stock held directly and (ii) 695,386 shares of common stock underlying outstanding stock options exercisable within 60 days of August 6, 2026. Reid Waldman is our Chief Executive Officer and a member of our Board.</w:t>
      </w:r>
    </w:p>
    <w:p>
      <w:pPr>
        <w:pStyle w:val="TextBody"/>
        <w:bidi w:val="0"/>
        <w:spacing w:lineRule="auto" w:line="288" w:before="0" w:after="0"/>
        <w:ind w:left="0" w:right="0" w:hanging="360"/>
        <w:jc w:val="left"/>
        <w:rPr>
          <w:rFonts w:ascii="Trade Gothic;sans-serif" w:hAnsi="Trade Gothic;sans-serif"/>
          <w:b w:val="false"/>
          <w:color w:val="000000"/>
          <w:sz w:val="16"/>
        </w:rPr>
      </w:pPr>
      <w:r>
        <w:rPr>
          <w:rFonts w:ascii="Trade Gothic;sans-serif" w:hAnsi="Trade Gothic;sans-serif"/>
          <w:b w:val="false"/>
          <w:color w:val="000000"/>
          <w:sz w:val="16"/>
        </w:rPr>
        <w:t>(9)The shares reported under “Shares of Common Stock Beneficially Owned Prior to this Offering” consist of (i) 118,190 shares of common stock held directly, (ii) 116,717 shares of common stock held in trust and (iii) 355,252 shares of common stock underlying outstanding stock options exercisable within 60 days of August 6, 2026. Tim Durso is our President.</w:t>
      </w:r>
    </w:p>
    <w:p>
      <w:pPr>
        <w:pStyle w:val="TextBody"/>
        <w:bidi w:val="0"/>
        <w:spacing w:lineRule="auto" w:line="288" w:before="0" w:after="0"/>
        <w:ind w:left="0" w:right="0" w:hanging="360"/>
        <w:jc w:val="left"/>
        <w:rPr>
          <w:rFonts w:ascii="Trade Gothic;sans-serif" w:hAnsi="Trade Gothic;sans-serif"/>
          <w:b w:val="false"/>
          <w:color w:val="000000"/>
          <w:sz w:val="16"/>
        </w:rPr>
      </w:pPr>
      <w:r>
        <w:rPr>
          <w:rFonts w:ascii="Trade Gothic;sans-serif" w:hAnsi="Trade Gothic;sans-serif"/>
          <w:b w:val="false"/>
          <w:color w:val="000000"/>
          <w:sz w:val="16"/>
        </w:rPr>
        <w:t>(10)The shares reported under “Shares of Common Stock Beneficially Owned Prior to this Offering” consist of (i) 129,939 shares of common stock held directly, (ii) 521,150 shares of common stock held in trust and (iii) 4,399 shares of common stock underlying outstanding stock options exercisable within 60 days of August 6, 2026. Vlad Coric, M.D., is a member of our Board.</w:t>
      </w:r>
    </w:p>
    <w:p>
      <w:pPr>
        <w:pStyle w:val="TextBody"/>
        <w:bidi w:val="0"/>
        <w:spacing w:lineRule="auto" w:line="288" w:before="0" w:after="180"/>
        <w:ind w:left="0" w:right="0" w:hanging="360"/>
        <w:jc w:val="left"/>
        <w:rPr>
          <w:rFonts w:ascii="Trade Gothic;sans-serif" w:hAnsi="Trade Gothic;sans-serif"/>
          <w:b w:val="false"/>
          <w:color w:val="000000"/>
          <w:sz w:val="16"/>
        </w:rPr>
      </w:pPr>
      <w:r>
        <w:rPr>
          <w:rFonts w:ascii="Trade Gothic;sans-serif" w:hAnsi="Trade Gothic;sans-serif"/>
          <w:b w:val="false"/>
          <w:color w:val="000000"/>
          <w:sz w:val="16"/>
        </w:rPr>
        <w:t>(11)Consists of (i) 2,455 shares of common stock held directly and (ii) 19,976 shares of common stock held in trust. Jane Grant-Kels, M.D. is a member of our Board.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right"/>
        <w:rPr/>
      </w:pPr>
      <w:r>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140335"/>
                <wp:effectExtent l="0" t="0" r="0" b="0"/>
                <wp:wrapNone/>
                <wp:docPr id="19" name="Frame18"/>
                <a:graphic xmlns:a="http://schemas.openxmlformats.org/drawingml/2006/main">
                  <a:graphicData uri="http://schemas.microsoft.com/office/word/2010/wordprocessingShape">
                    <wps:wsp>
                      <wps:cNvSpPr txBox="1"/>
                      <wps:spPr>
                        <a:xfrm>
                          <a:off x="0" y="0"/>
                          <a:ext cx="6480175" cy="140335"/>
                        </a:xfrm>
                        <a:prstGeom prst="rect"/>
                        <a:solidFill>
                          <a:srgbClr val="FFFFFF"/>
                        </a:solidFill>
                      </wps:spPr>
                      <wps:txbx>
                        <w:txbxContent>
                          <w:p>
                            <w:pPr>
                              <w:pStyle w:val="TextBody"/>
                              <w:bidi w:val="0"/>
                              <w:spacing w:lineRule="auto" w:line="288" w:before="0" w:after="180"/>
                              <w:jc w:val="center"/>
                              <w:rPr>
                                <w:rFonts w:ascii="Trade Gothic;sans-serif" w:hAnsi="Trade Gothic;sans-serif"/>
                                <w:b w:val="false"/>
                                <w:color w:val="000000"/>
                                <w:sz w:val="19"/>
                              </w:rPr>
                            </w:pPr>
                            <w:r>
                              <w:rPr>
                                <w:rFonts w:ascii="Trade Gothic;sans-serif" w:hAnsi="Trade Gothic;sans-serif"/>
                                <w:b w:val="false"/>
                                <w:color w:val="000000"/>
                                <w:sz w:val="19"/>
                              </w:rPr>
                              <w:t>15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0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180"/>
                        <w:jc w:val="center"/>
                        <w:rPr>
                          <w:rFonts w:ascii="Trade Gothic;sans-serif" w:hAnsi="Trade Gothic;sans-serif"/>
                          <w:b w:val="false"/>
                          <w:color w:val="000000"/>
                          <w:sz w:val="19"/>
                        </w:rPr>
                      </w:pPr>
                      <w:r>
                        <w:rPr>
                          <w:rFonts w:ascii="Trade Gothic;sans-serif" w:hAnsi="Trade Gothic;sans-serif"/>
                          <w:b w:val="false"/>
                          <w:color w:val="000000"/>
                          <w:sz w:val="19"/>
                        </w:rPr>
                        <w:t>15</w:t>
                      </w:r>
                    </w:p>
                  </w:txbxContent>
                </v:textbox>
                <w10:wrap type="none"/>
              </v:rect>
            </w:pict>
          </mc:Fallback>
        </mc:AlternateContent>
      </w:r>
    </w:p>
    <w:p>
      <w:pPr>
        <w:pStyle w:val="TextBody"/>
        <w:bidi w:val="0"/>
        <w:spacing w:lineRule="auto" w:line="288" w:before="0" w:after="360"/>
        <w:jc w:val="center"/>
        <w:rPr>
          <w:rFonts w:ascii="Trade Gothic;sans-serif" w:hAnsi="Trade Gothic;sans-serif"/>
          <w:b/>
          <w:color w:val="000000"/>
          <w:sz w:val="20"/>
        </w:rPr>
      </w:pPr>
      <w:r>
        <w:rPr>
          <w:rFonts w:ascii="Trade Gothic;sans-serif" w:hAnsi="Trade Gothic;sans-serif"/>
          <w:b/>
          <w:color w:val="000000"/>
          <w:sz w:val="20"/>
        </w:rPr>
        <w:t xml:space="preserve">DESCRIPTION OF CAPITAL STOCK </w:t>
      </w:r>
    </w:p>
    <w:p>
      <w:pPr>
        <w:pStyle w:val="TextBody"/>
        <w:bidi w:val="0"/>
        <w:spacing w:lineRule="auto" w:line="288" w:before="0" w:after="240"/>
        <w:jc w:val="left"/>
        <w:rPr>
          <w:rFonts w:ascii="Trade Gothic;sans-serif" w:hAnsi="Trade Gothic;sans-serif"/>
          <w:b w:val="false"/>
          <w:i/>
          <w:color w:val="000000"/>
          <w:sz w:val="20"/>
        </w:rPr>
      </w:pPr>
      <w:r>
        <w:rPr>
          <w:rFonts w:ascii="Trade Gothic;sans-serif" w:hAnsi="Trade Gothic;sans-serif"/>
          <w:b w:val="false"/>
          <w:i/>
          <w:color w:val="000000"/>
          <w:sz w:val="20"/>
        </w:rPr>
        <w:t>The following description of our capital stock and provisions of our restated certificate of incorporation and amended and restated bylaws are summaries and are qualified in their entirety by reference to our restated certificate of incorporation and amended and restated bylaws that are currently in effect. Copies of these documents are filed as exhibits to the registration statement of which this prospectus is a part.</w:t>
      </w:r>
    </w:p>
    <w:p>
      <w:pPr>
        <w:pStyle w:val="TextBody"/>
        <w:bidi w:val="0"/>
        <w:spacing w:lineRule="auto" w:line="288" w:before="240" w:after="80"/>
        <w:jc w:val="left"/>
        <w:rPr>
          <w:rFonts w:ascii="Trade Gothic;sans-serif" w:hAnsi="Trade Gothic;sans-serif"/>
          <w:b/>
          <w:color w:val="000000"/>
          <w:sz w:val="20"/>
        </w:rPr>
      </w:pPr>
      <w:r>
        <w:rPr>
          <w:rFonts w:ascii="Trade Gothic;sans-serif" w:hAnsi="Trade Gothic;sans-serif"/>
          <w:b/>
          <w:color w:val="000000"/>
          <w:sz w:val="20"/>
        </w:rPr>
        <w:t xml:space="preserve">General </w:t>
      </w:r>
    </w:p>
    <w:p>
      <w:pPr>
        <w:pStyle w:val="TextBody"/>
        <w:bidi w:val="0"/>
        <w:spacing w:lineRule="auto" w:line="288" w:before="0" w:after="240"/>
        <w:jc w:val="left"/>
        <w:rPr>
          <w:rFonts w:ascii="Trade Gothic;sans-serif" w:hAnsi="Trade Gothic;sans-serif"/>
          <w:b w:val="false"/>
          <w:color w:val="000000"/>
          <w:sz w:val="20"/>
        </w:rPr>
      </w:pPr>
      <w:r>
        <w:rPr>
          <w:rFonts w:ascii="Trade Gothic;sans-serif" w:hAnsi="Trade Gothic;sans-serif"/>
          <w:b w:val="false"/>
          <w:color w:val="000000"/>
          <w:sz w:val="20"/>
        </w:rPr>
        <w:t>Our authorized capital stock consists of 200,000,000 shares of common stock, with a par value of $0.00001 per share, and 25,000,000 shares of preferred stock, with a par value of $0.00001 per share, all of which preferred stock is undesignated. Our board of directors may establish the rights and preferences of the preferred stock from time to time.</w:t>
      </w:r>
    </w:p>
    <w:p>
      <w:pPr>
        <w:pStyle w:val="TextBody"/>
        <w:bidi w:val="0"/>
        <w:spacing w:lineRule="auto" w:line="288" w:before="240" w:after="80"/>
        <w:jc w:val="left"/>
        <w:rPr>
          <w:rFonts w:ascii="Trade Gothic;sans-serif" w:hAnsi="Trade Gothic;sans-serif"/>
          <w:b/>
          <w:color w:val="000000"/>
          <w:sz w:val="20"/>
        </w:rPr>
      </w:pPr>
      <w:r>
        <w:rPr>
          <w:rFonts w:ascii="Trade Gothic;sans-serif" w:hAnsi="Trade Gothic;sans-serif"/>
          <w:b/>
          <w:color w:val="000000"/>
          <w:sz w:val="20"/>
        </w:rPr>
        <w:t xml:space="preserve">Common Stock </w:t>
      </w:r>
    </w:p>
    <w:p>
      <w:pPr>
        <w:pStyle w:val="TextBody"/>
        <w:bidi w:val="0"/>
        <w:spacing w:lineRule="auto" w:line="288" w:before="0" w:after="240"/>
        <w:jc w:val="left"/>
        <w:rPr>
          <w:rFonts w:ascii="Trade Gothic;sans-serif" w:hAnsi="Trade Gothic;sans-serif"/>
          <w:b w:val="false"/>
          <w:color w:val="000000"/>
          <w:sz w:val="20"/>
        </w:rPr>
      </w:pPr>
      <w:r>
        <w:rPr>
          <w:rFonts w:ascii="Trade Gothic;sans-serif" w:hAnsi="Trade Gothic;sans-serif"/>
          <w:b w:val="false"/>
          <w:color w:val="000000"/>
          <w:sz w:val="20"/>
        </w:rPr>
        <w:t>Holders of our common stock are entitled to one vote for each share held on all matters submitted to a vote of stockholders and do not have cumulative voting rights. An election of directors by our stockholders shall be determined by a plurality of the votes cast by the stockholders entitled to vote on the election. Holders of common stock are entitled to receive proportionately any dividends as may be declared by our board of directors, subject to any preferential dividend rights of any series of preferred stock that we may designate and issue in the future.</w:t>
      </w:r>
    </w:p>
    <w:p>
      <w:pPr>
        <w:pStyle w:val="TextBody"/>
        <w:bidi w:val="0"/>
        <w:spacing w:lineRule="auto" w:line="288" w:before="0" w:after="240"/>
        <w:jc w:val="left"/>
        <w:rPr>
          <w:rFonts w:ascii="Trade Gothic;sans-serif" w:hAnsi="Trade Gothic;sans-serif"/>
          <w:b w:val="false"/>
          <w:color w:val="000000"/>
          <w:sz w:val="20"/>
        </w:rPr>
      </w:pPr>
      <w:r>
        <w:rPr>
          <w:rFonts w:ascii="Trade Gothic;sans-serif" w:hAnsi="Trade Gothic;sans-serif"/>
          <w:b w:val="false"/>
          <w:color w:val="000000"/>
          <w:sz w:val="20"/>
        </w:rPr>
        <w:t>In the event of our liquidation or dissolution, the holders of common stock are entitled to receive proportionately our net assets available for distribution to stockholders after the payment of all debts and other liabilities and subject to the prior rights of any outstanding preferred stock. Holders of common stock have no preemptive, subscription, redemption or conversion rights. Our outstanding shares of common stock are validly issued, fully paid and nonassessable. The rights, preferences and privileges of holders of common stock are subject to and may be adversely affected by the rights of the holders of shares of any series of preferred stock that we may designate and issue in the future.</w:t>
      </w:r>
    </w:p>
    <w:p>
      <w:pPr>
        <w:pStyle w:val="TextBody"/>
        <w:bidi w:val="0"/>
        <w:spacing w:lineRule="auto" w:line="288" w:before="240" w:after="80"/>
        <w:jc w:val="left"/>
        <w:rPr>
          <w:rFonts w:ascii="Trade Gothic;sans-serif" w:hAnsi="Trade Gothic;sans-serif"/>
          <w:b/>
          <w:color w:val="000000"/>
          <w:sz w:val="20"/>
        </w:rPr>
      </w:pPr>
      <w:r>
        <w:rPr>
          <w:rFonts w:ascii="Trade Gothic;sans-serif" w:hAnsi="Trade Gothic;sans-serif"/>
          <w:b/>
          <w:color w:val="000000"/>
          <w:sz w:val="20"/>
        </w:rPr>
        <w:t xml:space="preserve">Preferred Stock </w:t>
      </w:r>
    </w:p>
    <w:p>
      <w:pPr>
        <w:pStyle w:val="TextBody"/>
        <w:bidi w:val="0"/>
        <w:spacing w:lineRule="auto" w:line="288" w:before="0" w:after="240"/>
        <w:jc w:val="left"/>
        <w:rPr>
          <w:rFonts w:ascii="Trade Gothic;sans-serif" w:hAnsi="Trade Gothic;sans-serif"/>
          <w:b w:val="false"/>
          <w:color w:val="000000"/>
          <w:sz w:val="20"/>
        </w:rPr>
      </w:pPr>
      <w:r>
        <w:rPr>
          <w:rFonts w:ascii="Trade Gothic;sans-serif" w:hAnsi="Trade Gothic;sans-serif"/>
          <w:b w:val="false"/>
          <w:color w:val="000000"/>
          <w:sz w:val="20"/>
        </w:rPr>
        <w:t xml:space="preserve">Under the terms of our restated certificate of incorporation, our board of directors is authorized to direct us to issue shares of preferred stock in one or more series without stockholder approval. Our board of directors has the discretion to determine the rights, preferences, privileges and restrictions, including voting rights, dividend rights, conversion rights, redemption privileges and liquidation preferences, of each series of preferred stock. </w:t>
      </w:r>
    </w:p>
    <w:p>
      <w:pPr>
        <w:pStyle w:val="TextBody"/>
        <w:bidi w:val="0"/>
        <w:spacing w:lineRule="auto" w:line="288" w:before="0" w:after="240"/>
        <w:jc w:val="left"/>
        <w:rPr>
          <w:rFonts w:ascii="Trade Gothic;sans-serif" w:hAnsi="Trade Gothic;sans-serif"/>
          <w:b w:val="false"/>
          <w:color w:val="000000"/>
          <w:sz w:val="20"/>
        </w:rPr>
      </w:pPr>
      <w:r>
        <w:rPr>
          <w:rFonts w:ascii="Trade Gothic;sans-serif" w:hAnsi="Trade Gothic;sans-serif"/>
          <w:b w:val="false"/>
          <w:color w:val="000000"/>
          <w:sz w:val="20"/>
        </w:rPr>
        <w:t xml:space="preserve">The purpose of authorizing our board of directors to issue preferred stock and determine its rights and preferences is to eliminate delays associated with a stockholder vote on specific issuances. The issuance of preferred stock, while providing flexibility in connection with possible acquisitions, future financings and other corporate purposes, could have the effect of making it more difficult for a third-party to acquire, or could discourage a third-party from seeking to acquire, a majority of our outstanding voting stock. There are no shares of preferred stock outstanding, and we have no present plans to issue any shares of preferred stock. </w:t>
      </w:r>
    </w:p>
    <w:p>
      <w:pPr>
        <w:pStyle w:val="TextBody"/>
        <w:bidi w:val="0"/>
        <w:spacing w:lineRule="auto" w:line="288" w:before="240" w:after="80"/>
        <w:jc w:val="left"/>
        <w:rPr>
          <w:rFonts w:ascii="Trade Gothic;sans-serif" w:hAnsi="Trade Gothic;sans-serif"/>
          <w:b/>
          <w:color w:val="000000"/>
          <w:sz w:val="20"/>
        </w:rPr>
      </w:pPr>
      <w:r>
        <w:rPr>
          <w:rFonts w:ascii="Trade Gothic;sans-serif" w:hAnsi="Trade Gothic;sans-serif"/>
          <w:b/>
          <w:color w:val="000000"/>
          <w:sz w:val="20"/>
        </w:rPr>
        <w:t xml:space="preserve">Registration Rights </w:t>
      </w:r>
    </w:p>
    <w:p>
      <w:pPr>
        <w:pStyle w:val="TextBody"/>
        <w:bidi w:val="0"/>
        <w:spacing w:lineRule="auto" w:line="288" w:before="0" w:after="240"/>
        <w:jc w:val="left"/>
        <w:rPr>
          <w:rFonts w:ascii="Trade Gothic;sans-serif" w:hAnsi="Trade Gothic;sans-serif"/>
          <w:b w:val="false"/>
          <w:color w:val="000000"/>
          <w:sz w:val="20"/>
        </w:rPr>
      </w:pPr>
      <w:r>
        <w:rPr>
          <w:rFonts w:ascii="Trade Gothic;sans-serif" w:hAnsi="Trade Gothic;sans-serif"/>
          <w:b w:val="false"/>
          <w:color w:val="000000"/>
          <w:sz w:val="20"/>
        </w:rPr>
        <w:t xml:space="preserve">On October 14, 2025, we entered into a Third Amended and Restated Investors’ Right Agreement, or the Investors’ Rights Agreement, with certain holders of our capital stock, or the Investors, including the purchasers of our Series C Preferred Stock and other specified stockholders. </w:t>
      </w:r>
    </w:p>
    <w:p>
      <w:pPr>
        <w:pStyle w:val="TextBody"/>
        <w:bidi w:val="0"/>
        <w:spacing w:lineRule="auto" w:line="288" w:before="0" w:after="240"/>
        <w:jc w:val="left"/>
        <w:rPr>
          <w:rFonts w:ascii="Trade Gothic;sans-serif" w:hAnsi="Trade Gothic;sans-serif"/>
          <w:b w:val="false"/>
          <w:color w:val="000000"/>
          <w:sz w:val="20"/>
        </w:rPr>
      </w:pPr>
      <w:r>
        <w:rPr>
          <w:rFonts w:ascii="Trade Gothic;sans-serif" w:hAnsi="Trade Gothic;sans-serif"/>
          <w:b w:val="false"/>
          <w:color w:val="000000"/>
          <w:sz w:val="20"/>
        </w:rPr>
        <w:t xml:space="preserve">The Investors’ Rights Agreement grants the parties thereto certain registration rights in respect of the “registrable securities” held by them, which securities include (i) shares of our common stock issued or issuable upon conversion of our preferred stock (ii) shares of our common stock issued or issuable (directly or indirectly) upon conversion and/or exercise of any other securities of the Company, acquired by the Investors following the date of the Investors’ Rights Agreement, and (iii) any common stock issued as (or issuable upon the conversion or exercise of any warrant, right, or other security that is issued as) a dividend or other distribution with respect to, or in exchange for or in replacement of, the shares referenced in clauses (i), (ii) and (iii). The registration of shares of our common stock pursuant to the exercise of these registration rights will enable the holders thereof to sell such shares without restriction under the Securities Act when the applicable registration statement is declared effective. </w:t>
      </w:r>
    </w:p>
    <w:p>
      <w:pPr>
        <w:pStyle w:val="TextBody"/>
        <w:bidi w:val="0"/>
        <w:spacing w:before="0" w:after="0"/>
        <w:jc w:val="right"/>
        <w:rPr/>
      </w:pPr>
      <w:r>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140335"/>
                <wp:effectExtent l="0" t="0" r="0" b="0"/>
                <wp:wrapNone/>
                <wp:docPr id="20" name="Frame19"/>
                <a:graphic xmlns:a="http://schemas.openxmlformats.org/drawingml/2006/main">
                  <a:graphicData uri="http://schemas.microsoft.com/office/word/2010/wordprocessingShape">
                    <wps:wsp>
                      <wps:cNvSpPr txBox="1"/>
                      <wps:spPr>
                        <a:xfrm>
                          <a:off x="0" y="0"/>
                          <a:ext cx="6480175" cy="140335"/>
                        </a:xfrm>
                        <a:prstGeom prst="rect"/>
                        <a:solidFill>
                          <a:srgbClr val="FFFFFF"/>
                        </a:solidFill>
                      </wps:spPr>
                      <wps:txbx>
                        <w:txbxContent>
                          <w:p>
                            <w:pPr>
                              <w:pStyle w:val="TextBody"/>
                              <w:bidi w:val="0"/>
                              <w:spacing w:lineRule="auto" w:line="288" w:before="0" w:after="180"/>
                              <w:jc w:val="center"/>
                              <w:rPr>
                                <w:rFonts w:ascii="Trade Gothic;sans-serif" w:hAnsi="Trade Gothic;sans-serif"/>
                                <w:b w:val="false"/>
                                <w:color w:val="000000"/>
                                <w:sz w:val="19"/>
                              </w:rPr>
                            </w:pPr>
                            <w:r>
                              <w:rPr>
                                <w:rFonts w:ascii="Trade Gothic;sans-serif" w:hAnsi="Trade Gothic;sans-serif"/>
                                <w:b w:val="false"/>
                                <w:color w:val="000000"/>
                                <w:sz w:val="19"/>
                              </w:rPr>
                              <w:t>16</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0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180"/>
                        <w:jc w:val="center"/>
                        <w:rPr>
                          <w:rFonts w:ascii="Trade Gothic;sans-serif" w:hAnsi="Trade Gothic;sans-serif"/>
                          <w:b w:val="false"/>
                          <w:color w:val="000000"/>
                          <w:sz w:val="19"/>
                        </w:rPr>
                      </w:pPr>
                      <w:r>
                        <w:rPr>
                          <w:rFonts w:ascii="Trade Gothic;sans-serif" w:hAnsi="Trade Gothic;sans-serif"/>
                          <w:b w:val="false"/>
                          <w:color w:val="000000"/>
                          <w:sz w:val="19"/>
                        </w:rPr>
                        <w:t>16</w:t>
                      </w:r>
                    </w:p>
                  </w:txbxContent>
                </v:textbox>
                <w10:wrap type="none"/>
              </v:rect>
            </w:pict>
          </mc:Fallback>
        </mc:AlternateContent>
      </w:r>
    </w:p>
    <w:p>
      <w:pPr>
        <w:pStyle w:val="TextBody"/>
        <w:bidi w:val="0"/>
        <w:spacing w:lineRule="auto" w:line="288" w:before="0" w:after="240"/>
        <w:jc w:val="left"/>
        <w:rPr>
          <w:rFonts w:ascii="Trade Gothic;sans-serif" w:hAnsi="Trade Gothic;sans-serif"/>
          <w:b w:val="false"/>
          <w:color w:val="000000"/>
          <w:sz w:val="20"/>
        </w:rPr>
      </w:pPr>
      <w:r>
        <w:rPr>
          <w:rFonts w:ascii="Trade Gothic;sans-serif" w:hAnsi="Trade Gothic;sans-serif"/>
          <w:b w:val="false"/>
          <w:color w:val="000000"/>
          <w:sz w:val="20"/>
        </w:rPr>
        <w:t xml:space="preserve">Under the Investors’ Rights Agreement, we will pay all expenses relating to such registrations, including the reasonable fees of one counsel for the participating holders, and the holders will pay all underwriting discounts, selling commissions and stock transfer taxes relating to the sale of their shares. The Investors’ Rights Agreement also includes customary indemnification and procedural terms. </w:t>
      </w:r>
    </w:p>
    <w:p>
      <w:pPr>
        <w:pStyle w:val="TextBody"/>
        <w:bidi w:val="0"/>
        <w:spacing w:lineRule="auto" w:line="288" w:before="0" w:after="240"/>
        <w:jc w:val="left"/>
        <w:rPr>
          <w:rFonts w:ascii="Trade Gothic;sans-serif" w:hAnsi="Trade Gothic;sans-serif"/>
          <w:b w:val="false"/>
          <w:color w:val="000000"/>
          <w:sz w:val="20"/>
        </w:rPr>
      </w:pPr>
      <w:r>
        <w:rPr>
          <w:rFonts w:ascii="Trade Gothic;sans-serif" w:hAnsi="Trade Gothic;sans-serif"/>
          <w:b w:val="false"/>
          <w:color w:val="000000"/>
          <w:sz w:val="20"/>
        </w:rPr>
        <w:t xml:space="preserve">Holders of shares of our common stock (after giving effect to the conversion of preferred stock into shares of our common stock) are entitled to such registration rights pursuant to the Investors’ Rights Agreement. These registration rights will expire on the earlier of (i) such time as Rule 144 or another similar exemption under the Securities Act is available for the sale of all of such holder’s shares without limitation during a three-month period without registration and (ii) the fifth anniversary of the consummation of our IPO. </w:t>
      </w:r>
    </w:p>
    <w:p>
      <w:pPr>
        <w:pStyle w:val="TextBody"/>
        <w:bidi w:val="0"/>
        <w:spacing w:lineRule="auto" w:line="288" w:before="80" w:after="40"/>
        <w:jc w:val="left"/>
        <w:rPr>
          <w:rFonts w:ascii="Trade Gothic;sans-serif" w:hAnsi="Trade Gothic;sans-serif"/>
          <w:b/>
          <w:i/>
          <w:color w:val="000000"/>
          <w:sz w:val="20"/>
        </w:rPr>
      </w:pPr>
      <w:r>
        <w:rPr>
          <w:rFonts w:ascii="Trade Gothic;sans-serif" w:hAnsi="Trade Gothic;sans-serif"/>
          <w:b/>
          <w:i/>
          <w:color w:val="000000"/>
          <w:sz w:val="20"/>
        </w:rPr>
        <w:t xml:space="preserve">Demand Registration Rights </w:t>
      </w:r>
    </w:p>
    <w:p>
      <w:pPr>
        <w:pStyle w:val="TextBody"/>
        <w:bidi w:val="0"/>
        <w:spacing w:lineRule="auto" w:line="288" w:before="0" w:after="240"/>
        <w:jc w:val="left"/>
        <w:rPr>
          <w:rFonts w:ascii="Trade Gothic;sans-serif" w:hAnsi="Trade Gothic;sans-serif"/>
          <w:b w:val="false"/>
          <w:color w:val="000000"/>
          <w:sz w:val="20"/>
        </w:rPr>
      </w:pPr>
      <w:r>
        <w:rPr>
          <w:rFonts w:ascii="Trade Gothic;sans-serif" w:hAnsi="Trade Gothic;sans-serif"/>
          <w:b w:val="false"/>
          <w:color w:val="000000"/>
          <w:sz w:val="20"/>
        </w:rPr>
        <w:t xml:space="preserve">The holders of at least 35% of the registrable securities then outstanding may request that we file a registration statement on Form S-1 with respect to a majority of the registrable securities then outstanding, if the aggregate offering price of the registrable securities requested to be registered would exceed $20 million. </w:t>
      </w:r>
    </w:p>
    <w:p>
      <w:pPr>
        <w:pStyle w:val="TextBody"/>
        <w:bidi w:val="0"/>
        <w:spacing w:lineRule="auto" w:line="288" w:before="0" w:after="240"/>
        <w:jc w:val="left"/>
        <w:rPr>
          <w:rFonts w:ascii="Trade Gothic;sans-serif" w:hAnsi="Trade Gothic;sans-serif"/>
          <w:b w:val="false"/>
          <w:color w:val="000000"/>
          <w:sz w:val="20"/>
        </w:rPr>
      </w:pPr>
      <w:r>
        <w:rPr>
          <w:rFonts w:ascii="Trade Gothic;sans-serif" w:hAnsi="Trade Gothic;sans-serif"/>
          <w:b w:val="false"/>
          <w:color w:val="000000"/>
          <w:sz w:val="20"/>
        </w:rPr>
        <w:t xml:space="preserve">Once we are eligible to use a registration statement on Form S-3, the holders of not less than 20% of the registrable shares then outstanding may request that we file a registration statement on Form S-3 with respect to such holders’ registrable securities then outstanding, if the aggregate offering price of the registrable securities requested to be registered would exceed $1 million. </w:t>
      </w:r>
    </w:p>
    <w:p>
      <w:pPr>
        <w:pStyle w:val="TextBody"/>
        <w:bidi w:val="0"/>
        <w:spacing w:lineRule="auto" w:line="288" w:before="80" w:after="40"/>
        <w:jc w:val="left"/>
        <w:rPr>
          <w:rFonts w:ascii="Trade Gothic;sans-serif" w:hAnsi="Trade Gothic;sans-serif"/>
          <w:b/>
          <w:i/>
          <w:color w:val="000000"/>
          <w:sz w:val="20"/>
        </w:rPr>
      </w:pPr>
      <w:r>
        <w:rPr>
          <w:rFonts w:ascii="Trade Gothic;sans-serif" w:hAnsi="Trade Gothic;sans-serif"/>
          <w:b/>
          <w:i/>
          <w:color w:val="000000"/>
          <w:sz w:val="20"/>
        </w:rPr>
        <w:t xml:space="preserve">Piggyback Registration Rights </w:t>
      </w:r>
    </w:p>
    <w:p>
      <w:pPr>
        <w:pStyle w:val="TextBody"/>
        <w:bidi w:val="0"/>
        <w:spacing w:lineRule="auto" w:line="288" w:before="0" w:after="240"/>
        <w:jc w:val="left"/>
        <w:rPr>
          <w:rFonts w:ascii="Trade Gothic;sans-serif" w:hAnsi="Trade Gothic;sans-serif"/>
          <w:b w:val="false"/>
          <w:color w:val="000000"/>
          <w:sz w:val="20"/>
        </w:rPr>
      </w:pPr>
      <w:r>
        <w:rPr>
          <w:rFonts w:ascii="Trade Gothic;sans-serif" w:hAnsi="Trade Gothic;sans-serif"/>
          <w:b w:val="false"/>
          <w:color w:val="000000"/>
          <w:sz w:val="20"/>
        </w:rPr>
        <w:t xml:space="preserve">In the event that we propose to register any of our securities under the Securities Act, either for our own account or for the account of other security holders, the stockholders party to the Investors’ Rights Agreement will be entitled to certain “piggyback” registration rights allowing them to include their registrable securities in such registration, subject to certain marketing and other limitations. As a result, whenever we propose to file a registration statement under the Securities Act other than with respect to a demand registration or a registration statement on Form S-4 or S-8, these holders will be entitled to notice of the registration and will have the right to include their registrable securities in the registration subject to certain limitations. </w:t>
      </w:r>
    </w:p>
    <w:p>
      <w:pPr>
        <w:pStyle w:val="TextBody"/>
        <w:bidi w:val="0"/>
        <w:spacing w:lineRule="auto" w:line="288" w:before="240" w:after="80"/>
        <w:jc w:val="left"/>
        <w:rPr>
          <w:rFonts w:ascii="Trade Gothic;sans-serif" w:hAnsi="Trade Gothic;sans-serif"/>
          <w:b/>
          <w:color w:val="000000"/>
          <w:sz w:val="20"/>
        </w:rPr>
      </w:pPr>
      <w:r>
        <w:rPr>
          <w:rFonts w:ascii="Trade Gothic;sans-serif" w:hAnsi="Trade Gothic;sans-serif"/>
          <w:b/>
          <w:color w:val="000000"/>
          <w:sz w:val="20"/>
        </w:rPr>
        <w:t xml:space="preserve">Anti-takeover Effects of Our Restated Certificate of Incorporation and Our Amended and Restated Bylaws </w:t>
      </w:r>
    </w:p>
    <w:p>
      <w:pPr>
        <w:pStyle w:val="TextBody"/>
        <w:bidi w:val="0"/>
        <w:spacing w:lineRule="auto" w:line="288" w:before="0" w:after="240"/>
        <w:jc w:val="left"/>
        <w:rPr>
          <w:rFonts w:ascii="Trade Gothic;sans-serif" w:hAnsi="Trade Gothic;sans-serif"/>
          <w:b w:val="false"/>
          <w:color w:val="000000"/>
          <w:sz w:val="20"/>
        </w:rPr>
      </w:pPr>
      <w:r>
        <w:rPr>
          <w:rFonts w:ascii="Trade Gothic;sans-serif" w:hAnsi="Trade Gothic;sans-serif"/>
          <w:b w:val="false"/>
          <w:color w:val="000000"/>
          <w:sz w:val="20"/>
        </w:rPr>
        <w:t xml:space="preserve">Our restated certificate of incorporation and amended and restated bylaws contain certain provisions that are intended to enhance the likelihood of continuity and stability in the composition of our board of directors, but which may have the effect of delaying, deferring or preventing a future takeover or change in control of us unless such takeover or change in control is approved by our board of directors. </w:t>
      </w:r>
    </w:p>
    <w:p>
      <w:pPr>
        <w:pStyle w:val="TextBody"/>
        <w:bidi w:val="0"/>
        <w:spacing w:lineRule="auto" w:line="288" w:before="0" w:after="180"/>
        <w:jc w:val="left"/>
        <w:rPr>
          <w:rFonts w:ascii="Trade Gothic;sans-serif" w:hAnsi="Trade Gothic;sans-serif"/>
          <w:b w:val="false"/>
          <w:color w:val="000000"/>
          <w:sz w:val="20"/>
        </w:rPr>
      </w:pPr>
      <w:r>
        <w:rPr>
          <w:rFonts w:ascii="Trade Gothic;sans-serif" w:hAnsi="Trade Gothic;sans-serif"/>
          <w:b w:val="false"/>
          <w:color w:val="000000"/>
          <w:sz w:val="20"/>
        </w:rPr>
        <w:t xml:space="preserve">These provisions include: </w:t>
      </w:r>
    </w:p>
    <w:p>
      <w:pPr>
        <w:pStyle w:val="TextBody"/>
        <w:bidi w:val="0"/>
        <w:spacing w:lineRule="auto" w:line="288" w:before="0" w:after="240"/>
        <w:jc w:val="left"/>
        <w:rPr/>
      </w:pPr>
      <w:r>
        <w:rPr>
          <w:rFonts w:ascii="Trade Gothic;sans-serif" w:hAnsi="Trade Gothic;sans-serif"/>
          <w:b w:val="false"/>
          <w:i/>
          <w:color w:val="000000"/>
          <w:sz w:val="20"/>
        </w:rPr>
        <w:t>Classified board</w:t>
      </w:r>
      <w:r>
        <w:rPr>
          <w:rFonts w:ascii="Trade Gothic;sans-serif" w:hAnsi="Trade Gothic;sans-serif"/>
          <w:b w:val="false"/>
          <w:color w:val="000000"/>
          <w:sz w:val="20"/>
        </w:rPr>
        <w:t xml:space="preserve">. Our restated certificate of incorporation provides that our board of directors will be divided into three classes of directors, with the classes as nearly equal in number as possible. As a result, approximately one-third of our board of directors will be elected each year. The classification of directors will have the effect of making it more difficult for stockholders to change the composition of our board of directors. Our restated certificate of incorporation also provides that, subject to any rights of holders of preferred stock to elect additional directors under specified circumstances, the number of directors will be fixed exclusively pursuant to a resolution adopted by our board of directors. </w:t>
      </w:r>
    </w:p>
    <w:p>
      <w:pPr>
        <w:pStyle w:val="TextBody"/>
        <w:bidi w:val="0"/>
        <w:spacing w:lineRule="auto" w:line="288" w:before="0" w:after="240"/>
        <w:jc w:val="left"/>
        <w:rPr/>
      </w:pPr>
      <w:r>
        <w:rPr>
          <w:rFonts w:ascii="Trade Gothic;sans-serif" w:hAnsi="Trade Gothic;sans-serif"/>
          <w:b w:val="false"/>
          <w:i/>
          <w:color w:val="000000"/>
          <w:sz w:val="20"/>
        </w:rPr>
        <w:t>Action by written consent; special meetings of stockholders</w:t>
      </w:r>
      <w:r>
        <w:rPr>
          <w:rFonts w:ascii="Trade Gothic;sans-serif" w:hAnsi="Trade Gothic;sans-serif"/>
          <w:b w:val="false"/>
          <w:color w:val="000000"/>
          <w:sz w:val="20"/>
        </w:rPr>
        <w:t xml:space="preserve">. Our restated certificate of incorporation provides that stockholder action can be taken only at an annual or special meeting of stockholders and cannot be taken by written consent in lieu of a meeting. Our restated certificate of incorporation and the bylaws also provide that, except as otherwise required by law, special meetings of the stockholders can only be called pursuant to a resolution adopted by a majority of our board of directors. Except as described above, stockholders will not be permitted to call a special meeting or to require our board of directors to call a special meeting. </w:t>
      </w:r>
    </w:p>
    <w:p>
      <w:pPr>
        <w:pStyle w:val="TextBody"/>
        <w:bidi w:val="0"/>
        <w:spacing w:lineRule="auto" w:line="288" w:before="0" w:after="240"/>
        <w:jc w:val="left"/>
        <w:rPr/>
      </w:pPr>
      <w:r>
        <w:rPr>
          <w:rFonts w:ascii="Trade Gothic;sans-serif" w:hAnsi="Trade Gothic;sans-serif"/>
          <w:b w:val="false"/>
          <w:i/>
          <w:color w:val="000000"/>
          <w:sz w:val="20"/>
        </w:rPr>
        <w:t>Removal of directors</w:t>
      </w:r>
      <w:r>
        <w:rPr>
          <w:rFonts w:ascii="Trade Gothic;sans-serif" w:hAnsi="Trade Gothic;sans-serif"/>
          <w:b w:val="false"/>
          <w:color w:val="000000"/>
          <w:sz w:val="20"/>
        </w:rPr>
        <w:t xml:space="preserve">. Our restated certificate of incorporation provides that our directors may be removed only for cause by the affirmative vote of at least 75% of the voting power of our outstanding shares of capital stock, voting </w:t>
      </w:r>
    </w:p>
    <w:p>
      <w:pPr>
        <w:pStyle w:val="TextBody"/>
        <w:bidi w:val="0"/>
        <w:spacing w:before="0" w:after="0"/>
        <w:jc w:val="right"/>
        <w:rPr/>
      </w:pPr>
      <w:r>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140335"/>
                <wp:effectExtent l="0" t="0" r="0" b="0"/>
                <wp:wrapNone/>
                <wp:docPr id="21" name="Frame20"/>
                <a:graphic xmlns:a="http://schemas.openxmlformats.org/drawingml/2006/main">
                  <a:graphicData uri="http://schemas.microsoft.com/office/word/2010/wordprocessingShape">
                    <wps:wsp>
                      <wps:cNvSpPr txBox="1"/>
                      <wps:spPr>
                        <a:xfrm>
                          <a:off x="0" y="0"/>
                          <a:ext cx="6480175" cy="140335"/>
                        </a:xfrm>
                        <a:prstGeom prst="rect"/>
                        <a:solidFill>
                          <a:srgbClr val="FFFFFF"/>
                        </a:solidFill>
                      </wps:spPr>
                      <wps:txbx>
                        <w:txbxContent>
                          <w:p>
                            <w:pPr>
                              <w:pStyle w:val="TextBody"/>
                              <w:bidi w:val="0"/>
                              <w:spacing w:lineRule="auto" w:line="288" w:before="0" w:after="180"/>
                              <w:jc w:val="center"/>
                              <w:rPr>
                                <w:rFonts w:ascii="Trade Gothic;sans-serif" w:hAnsi="Trade Gothic;sans-serif"/>
                                <w:b w:val="false"/>
                                <w:color w:val="000000"/>
                                <w:sz w:val="19"/>
                              </w:rPr>
                            </w:pPr>
                            <w:r>
                              <w:rPr>
                                <w:rFonts w:ascii="Trade Gothic;sans-serif" w:hAnsi="Trade Gothic;sans-serif"/>
                                <w:b w:val="false"/>
                                <w:color w:val="000000"/>
                                <w:sz w:val="19"/>
                              </w:rPr>
                              <w:t>17</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0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180"/>
                        <w:jc w:val="center"/>
                        <w:rPr>
                          <w:rFonts w:ascii="Trade Gothic;sans-serif" w:hAnsi="Trade Gothic;sans-serif"/>
                          <w:b w:val="false"/>
                          <w:color w:val="000000"/>
                          <w:sz w:val="19"/>
                        </w:rPr>
                      </w:pPr>
                      <w:r>
                        <w:rPr>
                          <w:rFonts w:ascii="Trade Gothic;sans-serif" w:hAnsi="Trade Gothic;sans-serif"/>
                          <w:b w:val="false"/>
                          <w:color w:val="000000"/>
                          <w:sz w:val="19"/>
                        </w:rPr>
                        <w:t>17</w:t>
                      </w:r>
                    </w:p>
                  </w:txbxContent>
                </v:textbox>
                <w10:wrap type="none"/>
              </v:rect>
            </w:pict>
          </mc:Fallback>
        </mc:AlternateContent>
      </w:r>
    </w:p>
    <w:p>
      <w:pPr>
        <w:pStyle w:val="TextBody"/>
        <w:bidi w:val="0"/>
        <w:spacing w:lineRule="auto" w:line="288" w:before="0" w:after="240"/>
        <w:jc w:val="left"/>
        <w:rPr>
          <w:rFonts w:ascii="Trade Gothic;sans-serif" w:hAnsi="Trade Gothic;sans-serif"/>
          <w:b w:val="false"/>
          <w:color w:val="000000"/>
          <w:sz w:val="20"/>
        </w:rPr>
      </w:pPr>
      <w:r>
        <w:rPr>
          <w:rFonts w:ascii="Trade Gothic;sans-serif" w:hAnsi="Trade Gothic;sans-serif"/>
          <w:b w:val="false"/>
          <w:color w:val="000000"/>
          <w:sz w:val="20"/>
        </w:rPr>
        <w:t xml:space="preserve">together as a single class. This requirement of a supermajority vote to remove directors could enable a minority of our stockholders to prevent a change in the composition of our board of directors. </w:t>
      </w:r>
    </w:p>
    <w:p>
      <w:pPr>
        <w:pStyle w:val="TextBody"/>
        <w:bidi w:val="0"/>
        <w:spacing w:lineRule="auto" w:line="288" w:before="0" w:after="240"/>
        <w:jc w:val="left"/>
        <w:rPr/>
      </w:pPr>
      <w:r>
        <w:rPr>
          <w:rFonts w:ascii="Trade Gothic;sans-serif" w:hAnsi="Trade Gothic;sans-serif"/>
          <w:b w:val="false"/>
          <w:i/>
          <w:color w:val="000000"/>
          <w:sz w:val="20"/>
        </w:rPr>
        <w:t>Advance notice procedures</w:t>
      </w:r>
      <w:r>
        <w:rPr>
          <w:rFonts w:ascii="Trade Gothic;sans-serif" w:hAnsi="Trade Gothic;sans-serif"/>
          <w:b w:val="false"/>
          <w:color w:val="000000"/>
          <w:sz w:val="20"/>
        </w:rPr>
        <w:t xml:space="preserve">. Our bylaws establish an advance notice procedure for stockholder proposals to be brought before an annual meeting of our stockholders, including proposed nominations of persons for election to our board of directors. Stockholders at an annual meeting will only be able to consider proposals or nominations specified in the notice of meeting or brought before the meeting by or at the direction of our board of directors or by a stockholder who was a stockholder of record on the record date for the meeting, who is entitled to vote at the meeting and who has given our Secretary timely written notice, in proper form, of the stockholder’s intention to bring that business before the meeting. Although the bylaws do not give our board of directors the power to approve or disapprove stockholder nominations of candidates or proposals regarding other business to be conducted at a special or annual meeting, the bylaws may have the effect of precluding the conduct of certain business at a meeting if the proper procedures are not followed or may discourage or deter a potential acquirer from conducting a solicitation of proxies to elect its own slate of directors or otherwise attempting to obtain control of us. </w:t>
      </w:r>
    </w:p>
    <w:p>
      <w:pPr>
        <w:pStyle w:val="TextBody"/>
        <w:bidi w:val="0"/>
        <w:spacing w:lineRule="auto" w:line="288" w:before="0" w:after="240"/>
        <w:jc w:val="left"/>
        <w:rPr/>
      </w:pPr>
      <w:r>
        <w:rPr>
          <w:rFonts w:ascii="Trade Gothic;sans-serif" w:hAnsi="Trade Gothic;sans-serif"/>
          <w:b w:val="false"/>
          <w:i/>
          <w:color w:val="000000"/>
          <w:sz w:val="20"/>
        </w:rPr>
        <w:t>Supermajority approval requirements</w:t>
      </w:r>
      <w:r>
        <w:rPr>
          <w:rFonts w:ascii="Trade Gothic;sans-serif" w:hAnsi="Trade Gothic;sans-serif"/>
          <w:b w:val="false"/>
          <w:color w:val="000000"/>
          <w:sz w:val="20"/>
        </w:rPr>
        <w:t xml:space="preserve">. The DGCL generally provides that the affirmative vote of a majority of the shares entitled to vote on any matter is required to amend a corporation’s certificate of incorporation or bylaws, unless either a corporation’s certificate of incorporation or bylaws requires a greater percentage. Our restated certificate of incorporation and bylaws provide that the affirmative vote of holders of at least 75% of the total votes eligible to be cast in the election of directors will be required to amend, alter, change or repeal specified provisions. This requirement of a supermajority vote to approve amendments to our restated certificate of incorporation and bylaws could enable a minority of our stockholders to exercise veto power over any such amendments. </w:t>
      </w:r>
    </w:p>
    <w:p>
      <w:pPr>
        <w:pStyle w:val="TextBody"/>
        <w:bidi w:val="0"/>
        <w:spacing w:lineRule="auto" w:line="288" w:before="0" w:after="240"/>
        <w:jc w:val="left"/>
        <w:rPr/>
      </w:pPr>
      <w:r>
        <w:rPr>
          <w:rFonts w:ascii="Trade Gothic;sans-serif" w:hAnsi="Trade Gothic;sans-serif"/>
          <w:b w:val="false"/>
          <w:i/>
          <w:color w:val="000000"/>
          <w:sz w:val="20"/>
        </w:rPr>
        <w:t>Authorized but unissued shares</w:t>
      </w:r>
      <w:r>
        <w:rPr>
          <w:rFonts w:ascii="Trade Gothic;sans-serif" w:hAnsi="Trade Gothic;sans-serif"/>
          <w:b w:val="false"/>
          <w:color w:val="000000"/>
          <w:sz w:val="20"/>
        </w:rPr>
        <w:t xml:space="preserve">. Our authorized but unissued shares of common stock and preferred stock are available for future issuance without stockholder approval. These additional shares may be utilized for a variety of corporate purposes, including future public offerings to raise additional capital, corporate acquisitions and employee benefit plans. The existence of authorized but unissued shares of common stock and preferred stock could render more difficult or discourage an attempt to obtain control of a majority of our common stock by means of a proxy contest, tender offer, merger or otherwise. </w:t>
      </w:r>
    </w:p>
    <w:p>
      <w:pPr>
        <w:pStyle w:val="TextBody"/>
        <w:bidi w:val="0"/>
        <w:spacing w:lineRule="auto" w:line="288" w:before="80" w:after="40"/>
        <w:jc w:val="left"/>
        <w:rPr>
          <w:rFonts w:ascii="Trade Gothic;sans-serif" w:hAnsi="Trade Gothic;sans-serif"/>
          <w:b/>
          <w:i/>
          <w:color w:val="000000"/>
          <w:sz w:val="20"/>
        </w:rPr>
      </w:pPr>
      <w:r>
        <w:rPr>
          <w:rFonts w:ascii="Trade Gothic;sans-serif" w:hAnsi="Trade Gothic;sans-serif"/>
          <w:b/>
          <w:i/>
          <w:color w:val="000000"/>
          <w:sz w:val="20"/>
        </w:rPr>
        <w:t xml:space="preserve">Exclusive forum </w:t>
      </w:r>
    </w:p>
    <w:p>
      <w:pPr>
        <w:pStyle w:val="TextBody"/>
        <w:bidi w:val="0"/>
        <w:spacing w:lineRule="auto" w:line="288" w:before="0" w:after="240"/>
        <w:jc w:val="left"/>
        <w:rPr>
          <w:rFonts w:ascii="Trade Gothic;sans-serif" w:hAnsi="Trade Gothic;sans-serif"/>
          <w:b w:val="false"/>
          <w:color w:val="000000"/>
          <w:sz w:val="20"/>
        </w:rPr>
      </w:pPr>
      <w:r>
        <w:rPr>
          <w:rFonts w:ascii="Trade Gothic;sans-serif" w:hAnsi="Trade Gothic;sans-serif"/>
          <w:b w:val="false"/>
          <w:color w:val="000000"/>
          <w:sz w:val="20"/>
        </w:rPr>
        <w:t>Our restated certificate of incorporation provides that, subject to limited exceptions, the Court of Chancery of the State of Delaware (or, if, and only if, the Court of Chancery of the State of Delaware dismisses a Covered Claim (as defined below) for lack of subject matter jurisdiction, any other state or federal court in the State of Delaware that does have subject matter jurisdiction) will, to the fullest extent permitted by applicable law, be the sole and exclusive forum for the following types of claims: (i) any derivative claim brought in the right of the Company, (ii) any claim asserting a breach of a fiduciary duty to the Company or the Company’s stockholders owed by any current or former director, officer or other employee or stockholder of the Company, (iii) any claim against the Company arising pursuant to any provision of the DGCL, our restated certificate of incorporation or amended and restated bylaws, (iv) any claim to interpret, apply, enforce or determine the validity of our restated certificate of incorporation or amended and restated bylaws, (v) any claim against the Company governed by the internal affairs doctrine, and (vi) any other claim, not subject to exclusive federal jurisdiction and not asserting a cause of action arising under the Securities Act, brought in any action asserting one or more of the claims specified in clauses (a)(i) through (v) herein above, each a Covered Claim. This provision would not apply to claims brought to enforce a duty or liability created by the Exchange Act.</w:t>
      </w:r>
    </w:p>
    <w:p>
      <w:pPr>
        <w:pStyle w:val="TextBody"/>
        <w:bidi w:val="0"/>
        <w:spacing w:lineRule="auto" w:line="288" w:before="0" w:after="240"/>
        <w:jc w:val="left"/>
        <w:rPr>
          <w:rFonts w:ascii="Trade Gothic;sans-serif" w:hAnsi="Trade Gothic;sans-serif"/>
          <w:b w:val="false"/>
          <w:color w:val="000000"/>
          <w:sz w:val="20"/>
        </w:rPr>
      </w:pPr>
      <w:r>
        <w:rPr>
          <w:rFonts w:ascii="Trade Gothic;sans-serif" w:hAnsi="Trade Gothic;sans-serif"/>
          <w:b w:val="false"/>
          <w:color w:val="000000"/>
          <w:sz w:val="20"/>
        </w:rPr>
        <w:t>Our restated certificate of incorporation further provides that the federal district courts of the United States of America will be the exclusive forum for resolving any complaint asserting a cause of action arising under the Securities Act. In addition, our restated certificate of incorporation provides that any person or entity purchasing or otherwise acquiring any interest in the shares of capital stock of the Company will be deemed to have notice of and consented to these choice-of-forum provisions and waived any argument relating to the inconvenience of the forums in connection with any Covered Claim.</w:t>
      </w:r>
    </w:p>
    <w:p>
      <w:pPr>
        <w:pStyle w:val="TextBody"/>
        <w:bidi w:val="0"/>
        <w:spacing w:lineRule="auto" w:line="288" w:before="0" w:after="240"/>
        <w:jc w:val="left"/>
        <w:rPr>
          <w:rFonts w:ascii="Trade Gothic;sans-serif" w:hAnsi="Trade Gothic;sans-serif"/>
          <w:b w:val="false"/>
          <w:color w:val="000000"/>
          <w:sz w:val="20"/>
        </w:rPr>
      </w:pPr>
      <w:r>
        <w:rPr>
          <w:rFonts w:ascii="Trade Gothic;sans-serif" w:hAnsi="Trade Gothic;sans-serif"/>
          <w:b w:val="false"/>
          <w:color w:val="000000"/>
          <w:sz w:val="20"/>
        </w:rPr>
        <w:t xml:space="preserve">The choice of forum provisions contained in our restated certificate of incorporation may limit a stockholder’s ability to bring a claim in a judicial forum that it finds favorable for disputes with us or any of our directors, </w:t>
      </w:r>
    </w:p>
    <w:p>
      <w:pPr>
        <w:pStyle w:val="TextBody"/>
        <w:bidi w:val="0"/>
        <w:spacing w:before="0" w:after="0"/>
        <w:jc w:val="right"/>
        <w:rPr/>
      </w:pPr>
      <w:r>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140335"/>
                <wp:effectExtent l="0" t="0" r="0" b="0"/>
                <wp:wrapNone/>
                <wp:docPr id="22" name="Frame21"/>
                <a:graphic xmlns:a="http://schemas.openxmlformats.org/drawingml/2006/main">
                  <a:graphicData uri="http://schemas.microsoft.com/office/word/2010/wordprocessingShape">
                    <wps:wsp>
                      <wps:cNvSpPr txBox="1"/>
                      <wps:spPr>
                        <a:xfrm>
                          <a:off x="0" y="0"/>
                          <a:ext cx="6480175" cy="140335"/>
                        </a:xfrm>
                        <a:prstGeom prst="rect"/>
                        <a:solidFill>
                          <a:srgbClr val="FFFFFF"/>
                        </a:solidFill>
                      </wps:spPr>
                      <wps:txbx>
                        <w:txbxContent>
                          <w:p>
                            <w:pPr>
                              <w:pStyle w:val="TextBody"/>
                              <w:bidi w:val="0"/>
                              <w:spacing w:lineRule="auto" w:line="288" w:before="0" w:after="180"/>
                              <w:jc w:val="center"/>
                              <w:rPr>
                                <w:rFonts w:ascii="Trade Gothic;sans-serif" w:hAnsi="Trade Gothic;sans-serif"/>
                                <w:b w:val="false"/>
                                <w:color w:val="000000"/>
                                <w:sz w:val="19"/>
                              </w:rPr>
                            </w:pPr>
                            <w:r>
                              <w:rPr>
                                <w:rFonts w:ascii="Trade Gothic;sans-serif" w:hAnsi="Trade Gothic;sans-serif"/>
                                <w:b w:val="false"/>
                                <w:color w:val="000000"/>
                                <w:sz w:val="19"/>
                              </w:rPr>
                              <w:t>18</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0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180"/>
                        <w:jc w:val="center"/>
                        <w:rPr>
                          <w:rFonts w:ascii="Trade Gothic;sans-serif" w:hAnsi="Trade Gothic;sans-serif"/>
                          <w:b w:val="false"/>
                          <w:color w:val="000000"/>
                          <w:sz w:val="19"/>
                        </w:rPr>
                      </w:pPr>
                      <w:r>
                        <w:rPr>
                          <w:rFonts w:ascii="Trade Gothic;sans-serif" w:hAnsi="Trade Gothic;sans-serif"/>
                          <w:b w:val="false"/>
                          <w:color w:val="000000"/>
                          <w:sz w:val="19"/>
                        </w:rPr>
                        <w:t>18</w:t>
                      </w:r>
                    </w:p>
                  </w:txbxContent>
                </v:textbox>
                <w10:wrap type="none"/>
              </v:rect>
            </w:pict>
          </mc:Fallback>
        </mc:AlternateContent>
      </w:r>
    </w:p>
    <w:p>
      <w:pPr>
        <w:pStyle w:val="TextBody"/>
        <w:bidi w:val="0"/>
        <w:spacing w:lineRule="auto" w:line="288" w:before="0" w:after="240"/>
        <w:jc w:val="left"/>
        <w:rPr>
          <w:rFonts w:ascii="Trade Gothic;sans-serif" w:hAnsi="Trade Gothic;sans-serif"/>
          <w:b w:val="false"/>
          <w:color w:val="000000"/>
          <w:sz w:val="20"/>
        </w:rPr>
      </w:pPr>
      <w:r>
        <w:rPr>
          <w:rFonts w:ascii="Trade Gothic;sans-serif" w:hAnsi="Trade Gothic;sans-serif"/>
          <w:b w:val="false"/>
          <w:color w:val="000000"/>
          <w:sz w:val="20"/>
        </w:rPr>
        <w:t xml:space="preserve">officers, other employees or stockholders, which may discourage lawsuits with respect to such claims, although our stockholders will not be deemed to have waived our compliance with federal securities laws and the rules and regulations thereunder. While the Delaware courts have determined that such choice of forum provisions are facially valid, it is possible that a court of law in another jurisdiction could rule that the choice of forum provisions contained in our restated certificate of incorporation are inapplicable or unenforceable if they are challenged in a proceeding or otherwise, which could cause us to incur additional costs associated with resolving such action in other jurisdictions. </w:t>
      </w:r>
    </w:p>
    <w:p>
      <w:pPr>
        <w:pStyle w:val="TextBody"/>
        <w:bidi w:val="0"/>
        <w:spacing w:lineRule="auto" w:line="288" w:before="80" w:after="40"/>
        <w:jc w:val="left"/>
        <w:rPr>
          <w:rFonts w:ascii="Trade Gothic;sans-serif" w:hAnsi="Trade Gothic;sans-serif"/>
          <w:b/>
          <w:i/>
          <w:color w:val="000000"/>
          <w:sz w:val="20"/>
        </w:rPr>
      </w:pPr>
      <w:r>
        <w:rPr>
          <w:rFonts w:ascii="Trade Gothic;sans-serif" w:hAnsi="Trade Gothic;sans-serif"/>
          <w:b/>
          <w:i/>
          <w:color w:val="000000"/>
          <w:sz w:val="20"/>
        </w:rPr>
        <w:t xml:space="preserve">Section 203 of the DGCL </w:t>
      </w:r>
    </w:p>
    <w:p>
      <w:pPr>
        <w:pStyle w:val="TextBody"/>
        <w:bidi w:val="0"/>
        <w:spacing w:lineRule="auto" w:line="288" w:before="0" w:after="240"/>
        <w:jc w:val="left"/>
        <w:rPr>
          <w:rFonts w:ascii="Trade Gothic;sans-serif" w:hAnsi="Trade Gothic;sans-serif"/>
          <w:b w:val="false"/>
          <w:color w:val="000000"/>
          <w:sz w:val="20"/>
        </w:rPr>
      </w:pPr>
      <w:r>
        <w:rPr>
          <w:rFonts w:ascii="Trade Gothic;sans-serif" w:hAnsi="Trade Gothic;sans-serif"/>
          <w:b w:val="false"/>
          <w:color w:val="000000"/>
          <w:sz w:val="20"/>
        </w:rPr>
        <w:t xml:space="preserve">We are subject to the provisions of Section 203 of the DGCL. In general, Section 203 prohibits a publicly held Delaware corporation from engaging in a “business combination” with an “interested stockholder” for a three-year period following the time that this stockholder becomes an interested stockholder, unless the business combination is approved in a prescribed manner. A “business combination” includes, among other things, a merger, asset or stock sale or other transaction resulting in a financial benefit to the interested stockholder. An “interested stockholder” is a person who, together with affiliates and associates, owns, or did own within three years prior to the determination of interested stockholder status, 15% or more of the corporation’s voting stock. </w:t>
      </w:r>
    </w:p>
    <w:p>
      <w:pPr>
        <w:pStyle w:val="TextBody"/>
        <w:bidi w:val="0"/>
        <w:spacing w:lineRule="auto" w:line="288" w:before="0" w:after="240"/>
        <w:jc w:val="left"/>
        <w:rPr>
          <w:rFonts w:ascii="Trade Gothic;sans-serif" w:hAnsi="Trade Gothic;sans-serif"/>
          <w:b w:val="false"/>
          <w:color w:val="000000"/>
          <w:sz w:val="20"/>
        </w:rPr>
      </w:pPr>
      <w:r>
        <w:rPr>
          <w:rFonts w:ascii="Trade Gothic;sans-serif" w:hAnsi="Trade Gothic;sans-serif"/>
          <w:b w:val="false"/>
          <w:color w:val="000000"/>
          <w:sz w:val="20"/>
        </w:rPr>
        <w:t xml:space="preserve">Under Section 203, a business combination between a corporation and an interested stockholder is prohibited unless it satisfies one of the following conditions: before the stockholder became interested, the corporation’s board of directors approved either the business combination or the transaction which resulted in the stockholder becoming an interested stockholder; upon consummation of the transaction which resulted in the stockholder becoming an interested stockholder, the interested stockholder owned at least 85% of the voting stock of the corporation outstanding at the time the transaction commenced, excluding for purposes of determining the voting stock outstanding, shares owned by persons who are directors and also officers, and employee stock plans, in some instances; or at or after the time the stockholder became interested, the business combination was approved by the board of directors of the corporation and authorized at an annual or special meeting of the stockholders by the affirmative vote of at least two-thirds of the outstanding voting stock which is not owned by the interested stockholder. </w:t>
      </w:r>
    </w:p>
    <w:p>
      <w:pPr>
        <w:pStyle w:val="TextBody"/>
        <w:bidi w:val="0"/>
        <w:spacing w:lineRule="auto" w:line="288" w:before="0" w:after="240"/>
        <w:jc w:val="left"/>
        <w:rPr>
          <w:rFonts w:ascii="Trade Gothic;sans-serif" w:hAnsi="Trade Gothic;sans-serif"/>
          <w:b w:val="false"/>
          <w:color w:val="000000"/>
          <w:sz w:val="20"/>
        </w:rPr>
      </w:pPr>
      <w:r>
        <w:rPr>
          <w:rFonts w:ascii="Trade Gothic;sans-serif" w:hAnsi="Trade Gothic;sans-serif"/>
          <w:b w:val="false"/>
          <w:color w:val="000000"/>
          <w:sz w:val="20"/>
        </w:rPr>
        <w:t xml:space="preserve">A Delaware corporation may “opt out” of these provisions with an express provision in its original certificate of incorporation or an express provision in its certificate of incorporation or bylaws resulting from a stockholders’ amendment approved by at least a majority of the outstanding voting shares. We have not opted out of these provisions. As a result, mergers or other takeover or change in control attempts of us may be discouraged or prevented. </w:t>
      </w:r>
    </w:p>
    <w:p>
      <w:pPr>
        <w:pStyle w:val="TextBody"/>
        <w:bidi w:val="0"/>
        <w:spacing w:lineRule="auto" w:line="288" w:before="240" w:after="80"/>
        <w:jc w:val="left"/>
        <w:rPr>
          <w:rFonts w:ascii="Trade Gothic;sans-serif" w:hAnsi="Trade Gothic;sans-serif"/>
          <w:b/>
          <w:color w:val="000000"/>
          <w:sz w:val="20"/>
        </w:rPr>
      </w:pPr>
      <w:r>
        <w:rPr>
          <w:rFonts w:ascii="Trade Gothic;sans-serif" w:hAnsi="Trade Gothic;sans-serif"/>
          <w:b/>
          <w:color w:val="000000"/>
          <w:sz w:val="20"/>
        </w:rPr>
        <w:t>Limitations of Liability and Indemnification Matters</w:t>
      </w:r>
    </w:p>
    <w:p>
      <w:pPr>
        <w:pStyle w:val="TextBody"/>
        <w:bidi w:val="0"/>
        <w:spacing w:lineRule="auto" w:line="288" w:before="0" w:after="240"/>
        <w:jc w:val="left"/>
        <w:rPr/>
      </w:pPr>
      <w:r>
        <w:rPr>
          <w:rFonts w:ascii="Trade Gothic;sans-serif" w:hAnsi="Trade Gothic;sans-serif"/>
          <w:b w:val="false"/>
          <w:color w:val="000000"/>
          <w:sz w:val="20"/>
        </w:rPr>
        <w:t>For a discussion of liability and indemnification, see the section titled “</w:t>
      </w:r>
      <w:r>
        <w:fldChar w:fldCharType="begin"/>
      </w:r>
      <w:r>
        <w:rPr>
          <w:rStyle w:val="InternetLink"/>
          <w:sz w:val="20"/>
          <w:u w:val="single"/>
          <w:b w:val="false"/>
          <w:rFonts w:ascii="Trade Gothic;sans-serif" w:hAnsi="Trade Gothic;sans-serif"/>
          <w:color w:val="0000FF"/>
        </w:rPr>
        <w:instrText xml:space="preserve"> HYPERLINK "https://www.sec.gov/ix?doc=/Archives/edgar/data/0001827635/000182763526000013/mane-20251231.htm" \l "i9ca5e2be7bb943599d309f8713a7177d_1482"</w:instrText>
      </w:r>
      <w:r>
        <w:rPr>
          <w:rStyle w:val="InternetLink"/>
          <w:sz w:val="20"/>
          <w:u w:val="single"/>
          <w:b w:val="false"/>
          <w:rFonts w:ascii="Trade Gothic;sans-serif" w:hAnsi="Trade Gothic;sans-serif"/>
          <w:color w:val="0000FF"/>
        </w:rPr>
        <w:fldChar w:fldCharType="separate"/>
      </w:r>
      <w:r>
        <w:rPr>
          <w:rStyle w:val="InternetLink"/>
          <w:rFonts w:ascii="Trade Gothic;sans-serif" w:hAnsi="Trade Gothic;sans-serif"/>
          <w:b w:val="false"/>
          <w:color w:val="0000FF"/>
          <w:sz w:val="20"/>
          <w:u w:val="single"/>
        </w:rPr>
        <w:t>Executive and Director Compensation</w:t>
      </w:r>
      <w:r>
        <w:rPr>
          <w:rStyle w:val="InternetLink"/>
          <w:sz w:val="20"/>
          <w:u w:val="single"/>
          <w:b w:val="false"/>
          <w:rFonts w:ascii="Trade Gothic;sans-serif" w:hAnsi="Trade Gothic;sans-serif"/>
          <w:color w:val="0000FF"/>
        </w:rPr>
        <w:fldChar w:fldCharType="end"/>
      </w:r>
      <w:r>
        <w:rPr>
          <w:rFonts w:ascii="Trade Gothic;sans-serif" w:hAnsi="Trade Gothic;sans-serif"/>
          <w:b w:val="false"/>
          <w:color w:val="000000"/>
          <w:sz w:val="20"/>
        </w:rPr>
        <w:t>-Limitations on Liability and Indemnification,” included in our Annual Report, which is incorporated by reference.</w:t>
      </w:r>
    </w:p>
    <w:p>
      <w:pPr>
        <w:pStyle w:val="TextBody"/>
        <w:bidi w:val="0"/>
        <w:spacing w:lineRule="auto" w:line="288" w:before="240" w:after="80"/>
        <w:jc w:val="left"/>
        <w:rPr>
          <w:rFonts w:ascii="Trade Gothic;sans-serif" w:hAnsi="Trade Gothic;sans-serif"/>
          <w:b/>
          <w:color w:val="000000"/>
          <w:sz w:val="20"/>
        </w:rPr>
      </w:pPr>
      <w:r>
        <w:rPr>
          <w:rFonts w:ascii="Trade Gothic;sans-serif" w:hAnsi="Trade Gothic;sans-serif"/>
          <w:b/>
          <w:color w:val="000000"/>
          <w:sz w:val="20"/>
        </w:rPr>
        <w:t xml:space="preserve">Transfer Agent and Registrar </w:t>
      </w:r>
    </w:p>
    <w:p>
      <w:pPr>
        <w:pStyle w:val="TextBody"/>
        <w:bidi w:val="0"/>
        <w:spacing w:lineRule="auto" w:line="288" w:before="0" w:after="240"/>
        <w:jc w:val="left"/>
        <w:rPr>
          <w:rFonts w:ascii="Trade Gothic;sans-serif" w:hAnsi="Trade Gothic;sans-serif"/>
          <w:b w:val="false"/>
          <w:color w:val="000000"/>
          <w:sz w:val="20"/>
        </w:rPr>
      </w:pPr>
      <w:r>
        <w:rPr>
          <w:rFonts w:ascii="Trade Gothic;sans-serif" w:hAnsi="Trade Gothic;sans-serif"/>
          <w:b w:val="false"/>
          <w:color w:val="000000"/>
          <w:sz w:val="20"/>
        </w:rPr>
        <w:t xml:space="preserve">The transfer agent and registrar for our common stock is Equiniti Trust Company, LLC. The transfer agent and registrar’s address is 1110 Centre Point Curve, Suite 101, Mendota Heights, MN 55120-4100. </w:t>
      </w:r>
    </w:p>
    <w:p>
      <w:pPr>
        <w:pStyle w:val="TextBody"/>
        <w:bidi w:val="0"/>
        <w:spacing w:lineRule="auto" w:line="288" w:before="240" w:after="80"/>
        <w:jc w:val="left"/>
        <w:rPr>
          <w:rFonts w:ascii="Trade Gothic;sans-serif" w:hAnsi="Trade Gothic;sans-serif"/>
          <w:b/>
          <w:color w:val="000000"/>
          <w:sz w:val="20"/>
        </w:rPr>
      </w:pPr>
      <w:r>
        <w:rPr>
          <w:rFonts w:ascii="Trade Gothic;sans-serif" w:hAnsi="Trade Gothic;sans-serif"/>
          <w:b/>
          <w:color w:val="000000"/>
          <w:sz w:val="20"/>
        </w:rPr>
        <w:t xml:space="preserve">Listing </w:t>
      </w:r>
    </w:p>
    <w:p>
      <w:pPr>
        <w:pStyle w:val="TextBody"/>
        <w:bidi w:val="0"/>
        <w:spacing w:lineRule="auto" w:line="288" w:before="0" w:after="240"/>
        <w:jc w:val="left"/>
        <w:rPr>
          <w:rFonts w:ascii="Trade Gothic;sans-serif" w:hAnsi="Trade Gothic;sans-serif"/>
          <w:b w:val="false"/>
          <w:color w:val="000000"/>
          <w:sz w:val="20"/>
        </w:rPr>
      </w:pPr>
      <w:r>
        <w:rPr>
          <w:rFonts w:ascii="Trade Gothic;sans-serif" w:hAnsi="Trade Gothic;sans-serif"/>
          <w:b w:val="false"/>
          <w:color w:val="000000"/>
          <w:sz w:val="20"/>
        </w:rPr>
        <w:t>Our common stock is listed on the NYSE under the symbol “MANE.”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right"/>
        <w:rPr/>
      </w:pPr>
      <w:r>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140335"/>
                <wp:effectExtent l="0" t="0" r="0" b="0"/>
                <wp:wrapNone/>
                <wp:docPr id="23" name="Frame22"/>
                <a:graphic xmlns:a="http://schemas.openxmlformats.org/drawingml/2006/main">
                  <a:graphicData uri="http://schemas.microsoft.com/office/word/2010/wordprocessingShape">
                    <wps:wsp>
                      <wps:cNvSpPr txBox="1"/>
                      <wps:spPr>
                        <a:xfrm>
                          <a:off x="0" y="0"/>
                          <a:ext cx="6480175" cy="140335"/>
                        </a:xfrm>
                        <a:prstGeom prst="rect"/>
                        <a:solidFill>
                          <a:srgbClr val="FFFFFF"/>
                        </a:solidFill>
                      </wps:spPr>
                      <wps:txbx>
                        <w:txbxContent>
                          <w:p>
                            <w:pPr>
                              <w:pStyle w:val="TextBody"/>
                              <w:bidi w:val="0"/>
                              <w:spacing w:lineRule="auto" w:line="288" w:before="0" w:after="180"/>
                              <w:jc w:val="center"/>
                              <w:rPr>
                                <w:rFonts w:ascii="Trade Gothic;sans-serif" w:hAnsi="Trade Gothic;sans-serif"/>
                                <w:b w:val="false"/>
                                <w:color w:val="000000"/>
                                <w:sz w:val="19"/>
                              </w:rPr>
                            </w:pPr>
                            <w:r>
                              <w:rPr>
                                <w:rFonts w:ascii="Trade Gothic;sans-serif" w:hAnsi="Trade Gothic;sans-serif"/>
                                <w:b w:val="false"/>
                                <w:color w:val="000000"/>
                                <w:sz w:val="19"/>
                              </w:rPr>
                              <w:t>19</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0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180"/>
                        <w:jc w:val="center"/>
                        <w:rPr>
                          <w:rFonts w:ascii="Trade Gothic;sans-serif" w:hAnsi="Trade Gothic;sans-serif"/>
                          <w:b w:val="false"/>
                          <w:color w:val="000000"/>
                          <w:sz w:val="19"/>
                        </w:rPr>
                      </w:pPr>
                      <w:r>
                        <w:rPr>
                          <w:rFonts w:ascii="Trade Gothic;sans-serif" w:hAnsi="Trade Gothic;sans-serif"/>
                          <w:b w:val="false"/>
                          <w:color w:val="000000"/>
                          <w:sz w:val="19"/>
                        </w:rPr>
                        <w:t>19</w:t>
                      </w:r>
                    </w:p>
                  </w:txbxContent>
                </v:textbox>
                <w10:wrap type="none"/>
              </v:rect>
            </w:pict>
          </mc:Fallback>
        </mc:AlternateContent>
      </w:r>
    </w:p>
    <w:p>
      <w:pPr>
        <w:pStyle w:val="TextBody"/>
        <w:bidi w:val="0"/>
        <w:spacing w:lineRule="auto" w:line="288" w:before="0" w:after="360"/>
        <w:jc w:val="center"/>
        <w:rPr>
          <w:rFonts w:ascii="Trade Gothic;sans-serif" w:hAnsi="Trade Gothic;sans-serif"/>
          <w:b/>
          <w:color w:val="000000"/>
          <w:sz w:val="20"/>
        </w:rPr>
      </w:pPr>
      <w:r>
        <w:rPr>
          <w:rFonts w:ascii="Trade Gothic;sans-serif" w:hAnsi="Trade Gothic;sans-serif"/>
          <w:b/>
          <w:color w:val="000000"/>
          <w:sz w:val="20"/>
        </w:rPr>
        <w:t>DESCRIPTION OF PRE-FUNDED WARRANTS</w:t>
      </w:r>
    </w:p>
    <w:p>
      <w:pPr>
        <w:pStyle w:val="TextBody"/>
        <w:bidi w:val="0"/>
        <w:spacing w:lineRule="auto" w:line="288" w:before="0" w:after="240"/>
        <w:jc w:val="left"/>
        <w:rPr>
          <w:rFonts w:ascii="Trade Gothic;sans-serif" w:hAnsi="Trade Gothic;sans-serif"/>
          <w:b w:val="false"/>
          <w:i/>
          <w:color w:val="000000"/>
          <w:sz w:val="20"/>
        </w:rPr>
      </w:pPr>
      <w:r>
        <w:rPr>
          <w:rFonts w:ascii="Trade Gothic;sans-serif" w:hAnsi="Trade Gothic;sans-serif"/>
          <w:b w:val="false"/>
          <w:i/>
          <w:color w:val="000000"/>
          <w:sz w:val="20"/>
        </w:rPr>
        <w:t xml:space="preserve">The following is a summary of certain terms and conditions of the pre-funded warrants. The following description is subject in all respects to the provisions contained in the pre-funded warrant, the form of which is filed as an exhibit to the registration statement of which this prospectus forms a part. </w:t>
      </w:r>
    </w:p>
    <w:p>
      <w:pPr>
        <w:pStyle w:val="TextBody"/>
        <w:bidi w:val="0"/>
        <w:spacing w:lineRule="auto" w:line="288" w:before="240" w:after="80"/>
        <w:jc w:val="left"/>
        <w:rPr>
          <w:rFonts w:ascii="Trade Gothic;sans-serif" w:hAnsi="Trade Gothic;sans-serif"/>
          <w:b/>
          <w:color w:val="000000"/>
          <w:sz w:val="20"/>
        </w:rPr>
      </w:pPr>
      <w:r>
        <w:rPr>
          <w:rFonts w:ascii="Trade Gothic;sans-serif" w:hAnsi="Trade Gothic;sans-serif"/>
          <w:b/>
          <w:color w:val="000000"/>
          <w:sz w:val="20"/>
        </w:rPr>
        <w:t>Term</w:t>
      </w:r>
    </w:p>
    <w:p>
      <w:pPr>
        <w:pStyle w:val="TextBody"/>
        <w:bidi w:val="0"/>
        <w:spacing w:lineRule="auto" w:line="288" w:before="0" w:after="240"/>
        <w:jc w:val="left"/>
        <w:rPr>
          <w:rFonts w:ascii="Trade Gothic;sans-serif" w:hAnsi="Trade Gothic;sans-serif"/>
          <w:b w:val="false"/>
          <w:color w:val="000000"/>
          <w:sz w:val="20"/>
        </w:rPr>
      </w:pPr>
      <w:r>
        <w:rPr>
          <w:rFonts w:ascii="Trade Gothic;sans-serif" w:hAnsi="Trade Gothic;sans-serif"/>
          <w:b w:val="false"/>
          <w:color w:val="000000"/>
          <w:sz w:val="20"/>
        </w:rPr>
        <w:t>The pre-funded warrants do not expire.</w:t>
      </w:r>
    </w:p>
    <w:p>
      <w:pPr>
        <w:pStyle w:val="TextBody"/>
        <w:bidi w:val="0"/>
        <w:spacing w:lineRule="auto" w:line="288" w:before="240" w:after="80"/>
        <w:jc w:val="left"/>
        <w:rPr>
          <w:rFonts w:ascii="Trade Gothic;sans-serif" w:hAnsi="Trade Gothic;sans-serif"/>
          <w:b/>
          <w:color w:val="000000"/>
          <w:sz w:val="20"/>
        </w:rPr>
      </w:pPr>
      <w:r>
        <w:rPr>
          <w:rFonts w:ascii="Trade Gothic;sans-serif" w:hAnsi="Trade Gothic;sans-serif"/>
          <w:b/>
          <w:color w:val="000000"/>
          <w:sz w:val="20"/>
        </w:rPr>
        <w:t>Exercisability</w:t>
      </w:r>
    </w:p>
    <w:p>
      <w:pPr>
        <w:pStyle w:val="TextBody"/>
        <w:bidi w:val="0"/>
        <w:spacing w:lineRule="auto" w:line="288" w:before="0" w:after="240"/>
        <w:jc w:val="left"/>
        <w:rPr>
          <w:rFonts w:ascii="Trade Gothic;sans-serif" w:hAnsi="Trade Gothic;sans-serif"/>
          <w:b w:val="false"/>
          <w:color w:val="000000"/>
          <w:sz w:val="20"/>
        </w:rPr>
      </w:pPr>
      <w:r>
        <w:rPr>
          <w:rFonts w:ascii="Trade Gothic;sans-serif" w:hAnsi="Trade Gothic;sans-serif"/>
          <w:b w:val="false"/>
          <w:color w:val="000000"/>
          <w:sz w:val="20"/>
        </w:rPr>
        <w:t>The pre-funded warrants are exercisable at any time after their original issuance. The pre-funded warrants will be exercisable, at the option of each holder, in whole or in part by delivering to us a duly executed exercise notice and by payment in full of the exercise price in immediately available funds for the number of shares of common stock purchased upon such exercise. As an alternative to payment in immediately available funds, the holder may, in its sole discretion, elect to exercise the pre-funded warrant through a cashless exercise, in which the holder would receive upon such exercise the net number of shares of common stock determined according to the formula set forth in the pre-funded warrant. No fractional shares of common stock will be issued in connection with the exercise of a pre-funded warrant. In lieu of fractional shares, we will pay the holder an amount in cash equal to the fractional amount multiplied by the last closing trading price of our common stock on the exercise date.</w:t>
      </w:r>
    </w:p>
    <w:p>
      <w:pPr>
        <w:pStyle w:val="TextBody"/>
        <w:bidi w:val="0"/>
        <w:spacing w:lineRule="auto" w:line="288" w:before="240" w:after="80"/>
        <w:jc w:val="left"/>
        <w:rPr>
          <w:rFonts w:ascii="Trade Gothic;sans-serif" w:hAnsi="Trade Gothic;sans-serif"/>
          <w:b/>
          <w:color w:val="000000"/>
          <w:sz w:val="20"/>
        </w:rPr>
      </w:pPr>
      <w:r>
        <w:rPr>
          <w:rFonts w:ascii="Trade Gothic;sans-serif" w:hAnsi="Trade Gothic;sans-serif"/>
          <w:b/>
          <w:color w:val="000000"/>
          <w:sz w:val="20"/>
        </w:rPr>
        <w:t>Exercise Limitations</w:t>
      </w:r>
    </w:p>
    <w:p>
      <w:pPr>
        <w:pStyle w:val="TextBody"/>
        <w:bidi w:val="0"/>
        <w:spacing w:lineRule="auto" w:line="288" w:before="0" w:after="240"/>
        <w:jc w:val="left"/>
        <w:rPr>
          <w:rFonts w:ascii="Trade Gothic;sans-serif" w:hAnsi="Trade Gothic;sans-serif"/>
          <w:b w:val="false"/>
          <w:color w:val="000000"/>
          <w:sz w:val="20"/>
        </w:rPr>
      </w:pPr>
      <w:r>
        <w:rPr>
          <w:rFonts w:ascii="Trade Gothic;sans-serif" w:hAnsi="Trade Gothic;sans-serif"/>
          <w:b w:val="false"/>
          <w:color w:val="000000"/>
          <w:sz w:val="20"/>
        </w:rPr>
        <w:t>We may not effect the exercise of any portion of any pre-funded warrant, and a holder of any pre-funded warrant will not have the right to exercise any portion of any pre-funded warrant, and any such exercise shall be null and void and cancelled ab initio and treated as if the exercise had not been made, to the extent that immediately prior to or following such exercise, the holder, together with the Attribution Parties, collectively beneficially owns or would beneficially own as determined in accordance with Section 13(d) of the Exchange Act and the rules promulgated thereunder, in excess of 9.99% (the “Maximum Percentage”) of the shares of common stock that would be issued and outstanding following such exercise. However, any holder of a pre-funded warrant may increase or decrease such percentage to any other percentage not in excess of 19.99% upon at least 61 days’ prior notice from the holder to us.</w:t>
      </w:r>
    </w:p>
    <w:p>
      <w:pPr>
        <w:pStyle w:val="TextBody"/>
        <w:bidi w:val="0"/>
        <w:spacing w:lineRule="auto" w:line="288" w:before="0" w:after="240"/>
        <w:jc w:val="left"/>
        <w:rPr>
          <w:color w:val="000000"/>
        </w:rPr>
      </w:pPr>
      <w:r>
        <w:rPr>
          <w:color w:val="000000"/>
        </w:rPr>
        <w:t>“</w:t>
      </w:r>
      <w:r>
        <w:rPr>
          <w:rFonts w:ascii="Trade Gothic;sans-serif" w:hAnsi="Trade Gothic;sans-serif"/>
          <w:b w:val="false"/>
          <w:color w:val="000000"/>
          <w:sz w:val="20"/>
        </w:rPr>
        <w:t>Attribution Parties” means, collectively, the following persons and entities: (i) any direct or indirect affiliates of the holder, (ii) any person acting or who could be deemed to be acting as a Section 13(d) “group” together with the holder or any Attribution Parties and (iii) any other Persons whose beneficial ownership of our common stock would or could be aggregated with the holder’s and/or any other Attribution Parties for purposes of Section 13(d) or Section 16 of the Exchange Act. For clarity, the purpose of the foregoing is to subject collectively the holder and all other Attribution Parties to the Maximum Percentage.</w:t>
      </w:r>
    </w:p>
    <w:p>
      <w:pPr>
        <w:pStyle w:val="TextBody"/>
        <w:bidi w:val="0"/>
        <w:spacing w:lineRule="auto" w:line="288" w:before="240" w:after="80"/>
        <w:jc w:val="left"/>
        <w:rPr>
          <w:rFonts w:ascii="Trade Gothic;sans-serif" w:hAnsi="Trade Gothic;sans-serif"/>
          <w:b/>
          <w:color w:val="000000"/>
          <w:sz w:val="20"/>
        </w:rPr>
      </w:pPr>
      <w:r>
        <w:rPr>
          <w:rFonts w:ascii="Trade Gothic;sans-serif" w:hAnsi="Trade Gothic;sans-serif"/>
          <w:b/>
          <w:color w:val="000000"/>
          <w:sz w:val="20"/>
        </w:rPr>
        <w:t>Exercise Price</w:t>
      </w:r>
    </w:p>
    <w:p>
      <w:pPr>
        <w:pStyle w:val="TextBody"/>
        <w:bidi w:val="0"/>
        <w:spacing w:lineRule="auto" w:line="288" w:before="0" w:after="240"/>
        <w:jc w:val="left"/>
        <w:rPr>
          <w:rFonts w:ascii="Trade Gothic;sans-serif" w:hAnsi="Trade Gothic;sans-serif"/>
          <w:b w:val="false"/>
          <w:color w:val="000000"/>
          <w:sz w:val="20"/>
        </w:rPr>
      </w:pPr>
      <w:r>
        <w:rPr>
          <w:rFonts w:ascii="Trade Gothic;sans-serif" w:hAnsi="Trade Gothic;sans-serif"/>
          <w:b w:val="false"/>
          <w:color w:val="000000"/>
          <w:sz w:val="20"/>
        </w:rPr>
        <w:t>The exercise price of our common stock purchasable upon the exercise of the pre-funded warrants is $0.00001 per share. The exercise price of the pre-funded warrants and the number of shares of common stock issuable upon exercise of the pre-funded warrants is subject to appropriate adjustment in the event of certain dividends and distributions, stock splits, share combinations, reclassifications or similar events affecting our common stock, as well as upon any distribution of assets, including cash, shares or other property, to our stockholders.</w:t>
      </w:r>
    </w:p>
    <w:p>
      <w:pPr>
        <w:pStyle w:val="TextBody"/>
        <w:bidi w:val="0"/>
        <w:spacing w:lineRule="auto" w:line="288" w:before="240" w:after="80"/>
        <w:jc w:val="left"/>
        <w:rPr>
          <w:rFonts w:ascii="Trade Gothic;sans-serif" w:hAnsi="Trade Gothic;sans-serif"/>
          <w:b/>
          <w:color w:val="000000"/>
          <w:sz w:val="20"/>
        </w:rPr>
      </w:pPr>
      <w:r>
        <w:rPr>
          <w:rFonts w:ascii="Trade Gothic;sans-serif" w:hAnsi="Trade Gothic;sans-serif"/>
          <w:b/>
          <w:color w:val="000000"/>
          <w:sz w:val="20"/>
        </w:rPr>
        <w:t>Transferability</w:t>
      </w:r>
    </w:p>
    <w:p>
      <w:pPr>
        <w:pStyle w:val="TextBody"/>
        <w:bidi w:val="0"/>
        <w:spacing w:lineRule="auto" w:line="288" w:before="0" w:after="240"/>
        <w:jc w:val="left"/>
        <w:rPr>
          <w:rFonts w:ascii="Trade Gothic;sans-serif" w:hAnsi="Trade Gothic;sans-serif"/>
          <w:b w:val="false"/>
          <w:color w:val="000000"/>
          <w:sz w:val="20"/>
        </w:rPr>
      </w:pPr>
      <w:r>
        <w:rPr>
          <w:rFonts w:ascii="Trade Gothic;sans-serif" w:hAnsi="Trade Gothic;sans-serif"/>
          <w:b w:val="false"/>
          <w:color w:val="000000"/>
          <w:sz w:val="20"/>
        </w:rPr>
        <w:t>Subject to the restrictions on transfer set forth in the pre-funded warrants and applicable laws, the pre-funded warrants may be offered for sale, sold, transferred or assigned without our consent.</w:t>
      </w:r>
    </w:p>
    <w:p>
      <w:pPr>
        <w:pStyle w:val="TextBody"/>
        <w:bidi w:val="0"/>
        <w:spacing w:lineRule="auto" w:line="288" w:before="240" w:after="80"/>
        <w:jc w:val="left"/>
        <w:rPr>
          <w:rFonts w:ascii="Trade Gothic;sans-serif" w:hAnsi="Trade Gothic;sans-serif"/>
          <w:b/>
          <w:color w:val="000000"/>
          <w:sz w:val="20"/>
        </w:rPr>
      </w:pPr>
      <w:r>
        <w:rPr>
          <w:rFonts w:ascii="Trade Gothic;sans-serif" w:hAnsi="Trade Gothic;sans-serif"/>
          <w:b/>
          <w:color w:val="000000"/>
          <w:sz w:val="20"/>
        </w:rPr>
        <w:t>Exchange Listing</w:t>
      </w:r>
    </w:p>
    <w:p>
      <w:pPr>
        <w:pStyle w:val="TextBody"/>
        <w:bidi w:val="0"/>
        <w:spacing w:lineRule="auto" w:line="288" w:before="0" w:after="240"/>
        <w:jc w:val="left"/>
        <w:rPr>
          <w:rFonts w:ascii="Trade Gothic;sans-serif" w:hAnsi="Trade Gothic;sans-serif"/>
          <w:b w:val="false"/>
          <w:color w:val="000000"/>
          <w:sz w:val="20"/>
        </w:rPr>
      </w:pPr>
      <w:r>
        <w:rPr>
          <w:rFonts w:ascii="Trade Gothic;sans-serif" w:hAnsi="Trade Gothic;sans-serif"/>
          <w:b w:val="false"/>
          <w:color w:val="000000"/>
          <w:sz w:val="20"/>
        </w:rPr>
        <w:t>There is no established trading market for the pre-funded warrants, and we do not expect a market to develop. We do not intend to apply for the listing of the pre-funded warrants on NYSE, any other national securities exchange or any other nationally recognized trading system.</w:t>
      </w:r>
    </w:p>
    <w:p>
      <w:pPr>
        <w:pStyle w:val="TextBody"/>
        <w:bidi w:val="0"/>
        <w:spacing w:before="0" w:after="0"/>
        <w:jc w:val="right"/>
        <w:rPr/>
      </w:pPr>
      <w:r>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140335"/>
                <wp:effectExtent l="0" t="0" r="0" b="0"/>
                <wp:wrapNone/>
                <wp:docPr id="24" name="Frame23"/>
                <a:graphic xmlns:a="http://schemas.openxmlformats.org/drawingml/2006/main">
                  <a:graphicData uri="http://schemas.microsoft.com/office/word/2010/wordprocessingShape">
                    <wps:wsp>
                      <wps:cNvSpPr txBox="1"/>
                      <wps:spPr>
                        <a:xfrm>
                          <a:off x="0" y="0"/>
                          <a:ext cx="6480175" cy="140335"/>
                        </a:xfrm>
                        <a:prstGeom prst="rect"/>
                        <a:solidFill>
                          <a:srgbClr val="FFFFFF"/>
                        </a:solidFill>
                      </wps:spPr>
                      <wps:txbx>
                        <w:txbxContent>
                          <w:p>
                            <w:pPr>
                              <w:pStyle w:val="TextBody"/>
                              <w:bidi w:val="0"/>
                              <w:spacing w:lineRule="auto" w:line="288" w:before="0" w:after="180"/>
                              <w:jc w:val="center"/>
                              <w:rPr>
                                <w:rFonts w:ascii="Trade Gothic;sans-serif" w:hAnsi="Trade Gothic;sans-serif"/>
                                <w:b w:val="false"/>
                                <w:color w:val="000000"/>
                                <w:sz w:val="19"/>
                              </w:rPr>
                            </w:pPr>
                            <w:r>
                              <w:rPr>
                                <w:rFonts w:ascii="Trade Gothic;sans-serif" w:hAnsi="Trade Gothic;sans-serif"/>
                                <w:b w:val="false"/>
                                <w:color w:val="000000"/>
                                <w:sz w:val="19"/>
                              </w:rPr>
                              <w:t>20</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0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180"/>
                        <w:jc w:val="center"/>
                        <w:rPr>
                          <w:rFonts w:ascii="Trade Gothic;sans-serif" w:hAnsi="Trade Gothic;sans-serif"/>
                          <w:b w:val="false"/>
                          <w:color w:val="000000"/>
                          <w:sz w:val="19"/>
                        </w:rPr>
                      </w:pPr>
                      <w:r>
                        <w:rPr>
                          <w:rFonts w:ascii="Trade Gothic;sans-serif" w:hAnsi="Trade Gothic;sans-serif"/>
                          <w:b w:val="false"/>
                          <w:color w:val="000000"/>
                          <w:sz w:val="19"/>
                        </w:rPr>
                        <w:t>20</w:t>
                      </w:r>
                    </w:p>
                  </w:txbxContent>
                </v:textbox>
                <w10:wrap type="none"/>
              </v:rect>
            </w:pict>
          </mc:Fallback>
        </mc:AlternateContent>
      </w:r>
    </w:p>
    <w:p>
      <w:pPr>
        <w:pStyle w:val="TextBody"/>
        <w:bidi w:val="0"/>
        <w:spacing w:lineRule="auto" w:line="288" w:before="240" w:after="80"/>
        <w:jc w:val="left"/>
        <w:rPr>
          <w:rFonts w:ascii="Trade Gothic;sans-serif" w:hAnsi="Trade Gothic;sans-serif"/>
          <w:b/>
          <w:color w:val="000000"/>
          <w:sz w:val="20"/>
        </w:rPr>
      </w:pPr>
      <w:r>
        <w:rPr>
          <w:rFonts w:ascii="Trade Gothic;sans-serif" w:hAnsi="Trade Gothic;sans-serif"/>
          <w:b/>
          <w:color w:val="000000"/>
          <w:sz w:val="20"/>
        </w:rPr>
        <w:t>Fundamental Transactions</w:t>
      </w:r>
    </w:p>
    <w:p>
      <w:pPr>
        <w:pStyle w:val="TextBody"/>
        <w:bidi w:val="0"/>
        <w:spacing w:lineRule="auto" w:line="288" w:before="0" w:after="240"/>
        <w:jc w:val="left"/>
        <w:rPr>
          <w:rFonts w:ascii="Trade Gothic;sans-serif" w:hAnsi="Trade Gothic;sans-serif"/>
          <w:b w:val="false"/>
          <w:color w:val="000000"/>
          <w:sz w:val="20"/>
        </w:rPr>
      </w:pPr>
      <w:r>
        <w:rPr>
          <w:rFonts w:ascii="Trade Gothic;sans-serif" w:hAnsi="Trade Gothic;sans-serif"/>
          <w:b w:val="false"/>
          <w:color w:val="000000"/>
          <w:sz w:val="20"/>
        </w:rPr>
        <w:t>Upon the consummation of a fundamental transaction (as described in the pre-funded warrants, and generally including any reorganization, recapitalization or reclassification of our common stock, the sale, transfer or other disposition of all or substantially all of our properties or assets, our consolidation or merger with or into another person, the acquisition of more than 50% of our outstanding common stock, or any person or group becoming the beneficial owner of 50% of the voting power of our outstanding common stock), the holders of the pre-funded warrants will be entitled to receive, upon exercise of the pre-funded warrants, the kind and amount of securities, cash or other property that such holders would have received had they exercised the pre-funded warrants immediately prior to such fundamental transaction, without regard to any limitations on exercise contained in the pre-funded warrants (the “Alternate Consideration”). We will not effect any fundamental transaction in which we are not the surviving entity or the Alternate Consideration includes securities of another person unless (i) the alternate consideration is solely cash and we provide for the simultaneous “cashless exercise” of any pre-funded warrant or (ii) prior to or simultaneously with the consummation of a fundamental transaction, any successor to us, surviving entity or person (including any purchaser of our assets) will assume the obligation to deliver to the holder such Alternate Consideration as the holder may be entitled to receive and the other obligations under any pre-funded warrant.</w:t>
      </w:r>
    </w:p>
    <w:p>
      <w:pPr>
        <w:pStyle w:val="TextBody"/>
        <w:bidi w:val="0"/>
        <w:spacing w:lineRule="auto" w:line="288" w:before="240" w:after="80"/>
        <w:jc w:val="left"/>
        <w:rPr>
          <w:rFonts w:ascii="Trade Gothic;sans-serif" w:hAnsi="Trade Gothic;sans-serif"/>
          <w:b/>
          <w:color w:val="000000"/>
          <w:sz w:val="20"/>
        </w:rPr>
      </w:pPr>
      <w:r>
        <w:rPr>
          <w:rFonts w:ascii="Trade Gothic;sans-serif" w:hAnsi="Trade Gothic;sans-serif"/>
          <w:b/>
          <w:color w:val="000000"/>
          <w:sz w:val="20"/>
        </w:rPr>
        <w:t>Warrant Agent</w:t>
      </w:r>
    </w:p>
    <w:p>
      <w:pPr>
        <w:pStyle w:val="TextBody"/>
        <w:bidi w:val="0"/>
        <w:spacing w:lineRule="auto" w:line="288" w:before="0" w:after="240"/>
        <w:jc w:val="left"/>
        <w:rPr>
          <w:rFonts w:ascii="Trade Gothic;sans-serif" w:hAnsi="Trade Gothic;sans-serif"/>
          <w:b w:val="false"/>
          <w:color w:val="000000"/>
          <w:sz w:val="20"/>
        </w:rPr>
      </w:pPr>
      <w:r>
        <w:rPr>
          <w:rFonts w:ascii="Trade Gothic;sans-serif" w:hAnsi="Trade Gothic;sans-serif"/>
          <w:b w:val="false"/>
          <w:color w:val="000000"/>
          <w:sz w:val="20"/>
        </w:rPr>
        <w:t>We are initially serving as the warrant agent under the pre-funded warrants.</w:t>
      </w:r>
    </w:p>
    <w:p>
      <w:pPr>
        <w:pStyle w:val="TextBody"/>
        <w:bidi w:val="0"/>
        <w:spacing w:lineRule="auto" w:line="288" w:before="240" w:after="80"/>
        <w:jc w:val="left"/>
        <w:rPr>
          <w:rFonts w:ascii="Trade Gothic;sans-serif" w:hAnsi="Trade Gothic;sans-serif"/>
          <w:b/>
          <w:color w:val="000000"/>
          <w:sz w:val="20"/>
        </w:rPr>
      </w:pPr>
      <w:r>
        <w:rPr>
          <w:rFonts w:ascii="Trade Gothic;sans-serif" w:hAnsi="Trade Gothic;sans-serif"/>
          <w:b/>
          <w:color w:val="000000"/>
          <w:sz w:val="20"/>
        </w:rPr>
        <w:t>No Rights as Stockholder</w:t>
      </w:r>
    </w:p>
    <w:p>
      <w:pPr>
        <w:pStyle w:val="TextBody"/>
        <w:bidi w:val="0"/>
        <w:spacing w:lineRule="auto" w:line="288" w:before="0" w:after="240"/>
        <w:jc w:val="left"/>
        <w:rPr>
          <w:rFonts w:ascii="Trade Gothic;sans-serif" w:hAnsi="Trade Gothic;sans-serif"/>
          <w:b w:val="false"/>
          <w:color w:val="000000"/>
          <w:sz w:val="20"/>
        </w:rPr>
      </w:pPr>
      <w:r>
        <w:rPr>
          <w:rFonts w:ascii="Trade Gothic;sans-serif" w:hAnsi="Trade Gothic;sans-serif"/>
          <w:b w:val="false"/>
          <w:color w:val="000000"/>
          <w:sz w:val="20"/>
        </w:rPr>
        <w:t>Except by virtue of such holder’s ownership of our common stock, the holder of a pre-funded warrant does not have the rights or privileges of a holder of our common stock, including any voting rights, until such holder exercises the pre-funded warrant.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right"/>
        <w:rPr/>
      </w:pPr>
      <w:r>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480175" cy="140335"/>
                <wp:effectExtent l="0" t="0" r="0" b="0"/>
                <wp:wrapNone/>
                <wp:docPr id="25" name="Frame24"/>
                <a:graphic xmlns:a="http://schemas.openxmlformats.org/drawingml/2006/main">
                  <a:graphicData uri="http://schemas.microsoft.com/office/word/2010/wordprocessingShape">
                    <wps:wsp>
                      <wps:cNvSpPr txBox="1"/>
                      <wps:spPr>
                        <a:xfrm>
                          <a:off x="0" y="0"/>
                          <a:ext cx="6480175" cy="140335"/>
                        </a:xfrm>
                        <a:prstGeom prst="rect"/>
                        <a:solidFill>
                          <a:srgbClr val="FFFFFF"/>
                        </a:solidFill>
                      </wps:spPr>
                      <wps:txbx>
                        <w:txbxContent>
                          <w:p>
                            <w:pPr>
                              <w:pStyle w:val="TextBody"/>
                              <w:bidi w:val="0"/>
                              <w:spacing w:lineRule="auto" w:line="288" w:before="0" w:after="180"/>
                              <w:jc w:val="center"/>
                              <w:rPr>
                                <w:rFonts w:ascii="Trade Gothic;sans-serif" w:hAnsi="Trade Gothic;sans-serif"/>
                                <w:b w:val="false"/>
                                <w:color w:val="000000"/>
                                <w:sz w:val="19"/>
                              </w:rPr>
                            </w:pPr>
                            <w:r>
                              <w:rPr>
                                <w:rFonts w:ascii="Trade Gothic;sans-serif" w:hAnsi="Trade Gothic;sans-serif"/>
                                <w:b w:val="false"/>
                                <w:color w:val="000000"/>
                                <w:sz w:val="19"/>
                              </w:rPr>
                              <w:t>21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0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180"/>
                        <w:jc w:val="center"/>
                        <w:rPr>
                          <w:rFonts w:ascii="Trade Gothic;sans-serif" w:hAnsi="Trade Gothic;sans-serif"/>
                          <w:b w:val="false"/>
                          <w:color w:val="000000"/>
                          <w:sz w:val="19"/>
                        </w:rPr>
                      </w:pPr>
                      <w:r>
                        <w:rPr>
                          <w:rFonts w:ascii="Trade Gothic;sans-serif" w:hAnsi="Trade Gothic;sans-serif"/>
                          <w:b w:val="false"/>
                          <w:color w:val="000000"/>
                          <w:sz w:val="19"/>
                        </w:rPr>
                        <w:t>21</w:t>
                      </w:r>
                    </w:p>
                  </w:txbxContent>
                </v:textbox>
                <w10:wrap type="none"/>
              </v:rect>
            </w:pict>
          </mc:Fallback>
        </mc:AlternateContent>
      </w:r>
    </w:p>
    <w:p>
      <w:pPr>
        <w:pStyle w:val="TextBody"/>
        <w:bidi w:val="0"/>
        <w:spacing w:lineRule="auto" w:line="288" w:before="0" w:after="360"/>
        <w:jc w:val="center"/>
        <w:rPr>
          <w:rFonts w:ascii="Trade Gothic;sans-serif" w:hAnsi="Trade Gothic;sans-serif"/>
          <w:b/>
          <w:color w:val="000000"/>
          <w:sz w:val="20"/>
        </w:rPr>
      </w:pPr>
      <w:r>
        <w:rPr>
          <w:rFonts w:ascii="Trade Gothic;sans-serif" w:hAnsi="Trade Gothic;sans-serif"/>
          <w:b/>
          <w:color w:val="000000"/>
          <w:sz w:val="20"/>
        </w:rPr>
        <w:t>MATERIAL U.S. FEDERAL INCOME TAX CONSEQUENCES TO NON-U.S. HOLDERS OF OUR COMMON STOCK</w:t>
      </w:r>
    </w:p>
    <w:p>
      <w:pPr>
        <w:pStyle w:val="TextBody"/>
        <w:bidi w:val="0"/>
        <w:spacing w:lineRule="auto" w:line="288" w:before="0" w:after="240"/>
        <w:jc w:val="left"/>
        <w:rPr>
          <w:rFonts w:ascii="Trade Gothic;sans-serif" w:hAnsi="Trade Gothic;sans-serif"/>
          <w:b w:val="false"/>
          <w:color w:val="000000"/>
          <w:sz w:val="20"/>
        </w:rPr>
      </w:pPr>
      <w:r>
        <w:rPr>
          <w:rFonts w:ascii="Trade Gothic;sans-serif" w:hAnsi="Trade Gothic;sans-serif"/>
          <w:b w:val="false"/>
          <w:color w:val="000000"/>
          <w:sz w:val="20"/>
        </w:rPr>
        <w:t xml:space="preserve">The following is a summary of the material U.S. federal income tax considerations relating to the purchase, ownership and disposition of our common stock by Non-U.S. Holders (as defined below). This summary does not purport to be a complete analysis of all the potential tax considerations relevant to Non-U.S. Holders of our common stock. This summary is based upon the Code, the Treasury regulations promulgated or proposed thereunder and administrative and judicial interpretations thereof, all as of the date hereof and all of which are subject to change at any time, possibly on a retroactive basis. </w:t>
      </w:r>
    </w:p>
    <w:p>
      <w:pPr>
        <w:pStyle w:val="TextBody"/>
        <w:bidi w:val="0"/>
        <w:spacing w:lineRule="auto" w:line="288" w:before="0" w:after="240"/>
        <w:jc w:val="left"/>
        <w:rPr>
          <w:rFonts w:ascii="Trade Gothic;sans-serif" w:hAnsi="Trade Gothic;sans-serif"/>
          <w:b w:val="false"/>
          <w:color w:val="000000"/>
          <w:sz w:val="20"/>
        </w:rPr>
      </w:pPr>
      <w:r>
        <w:rPr>
          <w:rFonts w:ascii="Trade Gothic;sans-serif" w:hAnsi="Trade Gothic;sans-serif"/>
          <w:b w:val="false"/>
          <w:color w:val="000000"/>
          <w:sz w:val="20"/>
        </w:rPr>
        <w:t xml:space="preserve">This discussion is limited to Non-U.S. Holders that hold our common stock as a “capital asset” within the meaning of Section 1221 of the Code (generally, property held for investment). For purposes of this summary, a “Non-U.S. Holder” means a beneficial owner of our common stock that for U.S. federal income tax purposes is not classified as a partnership and is not: </w:t>
      </w:r>
    </w:p>
    <w:p>
      <w:pPr>
        <w:pStyle w:val="TextBody"/>
        <w:bidi w:val="0"/>
        <w:spacing w:lineRule="auto" w:line="288" w:before="0" w:after="40"/>
        <w:ind w:left="0" w:right="0" w:hanging="360"/>
        <w:jc w:val="left"/>
        <w:rPr/>
      </w:pPr>
      <w:r>
        <w:rPr>
          <w:color w:val="000000"/>
        </w:rPr>
        <w:t>■</w:t>
      </w:r>
      <w:r>
        <w:rPr>
          <w:rFonts w:ascii="Trade Gothic;sans-serif" w:hAnsi="Trade Gothic;sans-serif"/>
          <w:b w:val="false"/>
          <w:color w:val="000000"/>
          <w:sz w:val="20"/>
        </w:rPr>
        <w:t xml:space="preserve">an individual who is a citizen or resident of the United States; </w:t>
      </w:r>
    </w:p>
    <w:p>
      <w:pPr>
        <w:pStyle w:val="TextBody"/>
        <w:bidi w:val="0"/>
        <w:spacing w:lineRule="auto" w:line="288" w:before="0" w:after="40"/>
        <w:ind w:left="0" w:right="0" w:hanging="360"/>
        <w:jc w:val="left"/>
        <w:rPr/>
      </w:pPr>
      <w:r>
        <w:rPr>
          <w:color w:val="000000"/>
        </w:rPr>
        <w:t>■</w:t>
      </w:r>
      <w:r>
        <w:rPr>
          <w:rFonts w:ascii="Trade Gothic;sans-serif" w:hAnsi="Trade Gothic;sans-serif"/>
          <w:b w:val="false"/>
          <w:color w:val="000000"/>
          <w:sz w:val="20"/>
        </w:rPr>
        <w:t xml:space="preserve">a corporation or any other organization taxable as a corporation for U.S. federal income tax purposes, created or organized in or under the laws of the United States, any state thereof or the District of Columbia; </w:t>
      </w:r>
    </w:p>
    <w:p>
      <w:pPr>
        <w:pStyle w:val="TextBody"/>
        <w:bidi w:val="0"/>
        <w:spacing w:lineRule="auto" w:line="288" w:before="0" w:after="40"/>
        <w:ind w:left="0" w:right="0" w:hanging="360"/>
        <w:jc w:val="left"/>
        <w:rPr/>
      </w:pPr>
      <w:r>
        <w:rPr>
          <w:color w:val="000000"/>
        </w:rPr>
        <w:t>■</w:t>
      </w:r>
      <w:r>
        <w:rPr>
          <w:rFonts w:ascii="Trade Gothic;sans-serif" w:hAnsi="Trade Gothic;sans-serif"/>
          <w:b w:val="false"/>
          <w:color w:val="000000"/>
          <w:sz w:val="20"/>
        </w:rPr>
        <w:t xml:space="preserve">an estate, the income of which is included in gross income for U.S. federal income tax purposes regardless of its source; or </w:t>
      </w:r>
    </w:p>
    <w:p>
      <w:pPr>
        <w:pStyle w:val="TextBody"/>
        <w:bidi w:val="0"/>
        <w:spacing w:lineRule="auto" w:line="288" w:before="0" w:after="40"/>
        <w:ind w:left="0" w:right="0" w:hanging="360"/>
        <w:jc w:val="left"/>
        <w:rPr/>
      </w:pPr>
      <w:r>
        <w:rPr>
          <w:color w:val="000000"/>
        </w:rPr>
        <w:t>■</w:t>
      </w:r>
      <w:r>
        <w:rPr>
          <w:rFonts w:ascii="Trade Gothic;sans-serif" w:hAnsi="Trade Gothic;sans-serif"/>
          <w:b w:val="false"/>
          <w:color w:val="000000"/>
          <w:sz w:val="20"/>
        </w:rPr>
        <w:t xml:space="preserve">a trust if (1) a U.S. court is able to exercise primary supervision over the trust’s administration and one or more U.S. persons have the authority to control all of the trust’s substantial decisions or (2) the trust has a valid election in effect under applicable Treasury regulations to be treated as a U.S. person. </w:t>
      </w:r>
    </w:p>
    <w:p>
      <w:pPr>
        <w:pStyle w:val="TextBody"/>
        <w:bidi w:val="0"/>
        <w:spacing w:lineRule="auto" w:line="288" w:before="0" w:after="40"/>
        <w:ind w:left="0" w:right="0" w:hanging="360"/>
        <w:jc w:val="left"/>
        <w:rPr/>
      </w:pPr>
      <w:r>
        <w:rPr>
          <w:color w:val="000000"/>
        </w:rPr>
        <w:t>■</w:t>
      </w:r>
      <w:r>
        <w:rPr>
          <w:rFonts w:ascii="Trade Gothic;sans-serif" w:hAnsi="Trade Gothic;sans-serif"/>
          <w:b w:val="false"/>
          <w:color w:val="000000"/>
          <w:sz w:val="20"/>
        </w:rPr>
        <w:t xml:space="preserve">This discussion does not address all U.S. federal income tax consequences relevant to a Non-U.S. Holder’s particular circumstances, including any impact of any alternative minimum tax, any estate or gift tax, the special tax accounting rules under Section 451(b) of the Code or the Medicare contribution tax on net investment income. In addition, it does not address consequences relevant to Non-U.S. Holders subject to special rules, including, without limitation: </w:t>
      </w:r>
    </w:p>
    <w:p>
      <w:pPr>
        <w:pStyle w:val="TextBody"/>
        <w:bidi w:val="0"/>
        <w:spacing w:lineRule="auto" w:line="288" w:before="0" w:after="40"/>
        <w:ind w:left="0" w:right="0" w:hanging="360"/>
        <w:jc w:val="left"/>
        <w:rPr/>
      </w:pPr>
      <w:r>
        <w:rPr>
          <w:color w:val="000000"/>
        </w:rPr>
        <w:t>■</w:t>
      </w:r>
      <w:r>
        <w:rPr>
          <w:rFonts w:ascii="Trade Gothic;sans-serif" w:hAnsi="Trade Gothic;sans-serif"/>
          <w:b w:val="false"/>
          <w:color w:val="000000"/>
          <w:sz w:val="20"/>
        </w:rPr>
        <w:t xml:space="preserve">U.S. expatriates and former citizens or long-term residents of the United States; </w:t>
      </w:r>
    </w:p>
    <w:p>
      <w:pPr>
        <w:pStyle w:val="TextBody"/>
        <w:bidi w:val="0"/>
        <w:spacing w:lineRule="auto" w:line="288" w:before="0" w:after="40"/>
        <w:ind w:left="0" w:right="0" w:hanging="360"/>
        <w:jc w:val="left"/>
        <w:rPr/>
      </w:pPr>
      <w:r>
        <w:rPr>
          <w:color w:val="000000"/>
        </w:rPr>
        <w:t>■</w:t>
      </w:r>
      <w:r>
        <w:rPr>
          <w:rFonts w:ascii="Trade Gothic;sans-serif" w:hAnsi="Trade Gothic;sans-serif"/>
          <w:b w:val="false"/>
          <w:color w:val="000000"/>
          <w:sz w:val="20"/>
        </w:rPr>
        <w:t xml:space="preserve">persons holding our common stock as part of a hedge, straddle or other risk reduction strategy or as part of a conversion transaction or other integrated investment; </w:t>
      </w:r>
    </w:p>
    <w:p>
      <w:pPr>
        <w:pStyle w:val="TextBody"/>
        <w:bidi w:val="0"/>
        <w:spacing w:lineRule="auto" w:line="288" w:before="0" w:after="40"/>
        <w:ind w:left="0" w:right="0" w:hanging="360"/>
        <w:jc w:val="left"/>
        <w:rPr/>
      </w:pPr>
      <w:r>
        <w:rPr>
          <w:color w:val="000000"/>
        </w:rPr>
        <w:t>■</w:t>
      </w:r>
      <w:r>
        <w:rPr>
          <w:rFonts w:ascii="Trade Gothic;sans-serif" w:hAnsi="Trade Gothic;sans-serif"/>
          <w:b w:val="false"/>
          <w:color w:val="000000"/>
          <w:sz w:val="20"/>
        </w:rPr>
        <w:t xml:space="preserve">banks, insurance companies and other financial institutions; </w:t>
      </w:r>
    </w:p>
    <w:p>
      <w:pPr>
        <w:pStyle w:val="TextBody"/>
        <w:bidi w:val="0"/>
        <w:spacing w:lineRule="auto" w:line="288" w:before="0" w:after="40"/>
        <w:ind w:left="0" w:right="0" w:hanging="360"/>
        <w:jc w:val="left"/>
        <w:rPr/>
      </w:pPr>
      <w:r>
        <w:rPr>
          <w:color w:val="000000"/>
        </w:rPr>
        <w:t>■</w:t>
      </w:r>
      <w:r>
        <w:rPr>
          <w:rFonts w:ascii="Trade Gothic;sans-serif" w:hAnsi="Trade Gothic;sans-serif"/>
          <w:b w:val="false"/>
          <w:color w:val="000000"/>
          <w:sz w:val="20"/>
        </w:rPr>
        <w:t xml:space="preserve">brokers, dealers or traders in securities; </w:t>
      </w:r>
    </w:p>
    <w:p>
      <w:pPr>
        <w:pStyle w:val="TextBody"/>
        <w:bidi w:val="0"/>
        <w:spacing w:lineRule="auto" w:line="288" w:before="0" w:after="40"/>
        <w:ind w:left="0" w:right="0" w:hanging="360"/>
        <w:jc w:val="left"/>
        <w:rPr/>
      </w:pPr>
      <w:r>
        <w:rPr>
          <w:color w:val="000000"/>
        </w:rPr>
        <w:t>■“</w:t>
      </w:r>
      <w:r>
        <w:rPr>
          <w:rFonts w:ascii="Trade Gothic;sans-serif" w:hAnsi="Trade Gothic;sans-serif"/>
          <w:b w:val="false"/>
          <w:color w:val="000000"/>
          <w:sz w:val="20"/>
        </w:rPr>
        <w:t xml:space="preserve">controlled foreign corporations,” “passive foreign investment companies,” and corporations that accumulate earnings to avoid U.S. federal income tax; </w:t>
      </w:r>
    </w:p>
    <w:p>
      <w:pPr>
        <w:pStyle w:val="TextBody"/>
        <w:bidi w:val="0"/>
        <w:spacing w:lineRule="auto" w:line="288" w:before="0" w:after="40"/>
        <w:ind w:left="0" w:right="0" w:hanging="360"/>
        <w:jc w:val="left"/>
        <w:rPr/>
      </w:pPr>
      <w:r>
        <w:rPr>
          <w:color w:val="000000"/>
        </w:rPr>
        <w:t>■</w:t>
      </w:r>
      <w:r>
        <w:rPr>
          <w:rFonts w:ascii="Trade Gothic;sans-serif" w:hAnsi="Trade Gothic;sans-serif"/>
          <w:b w:val="false"/>
          <w:color w:val="000000"/>
          <w:sz w:val="20"/>
        </w:rPr>
        <w:t xml:space="preserve">partnerships or other entities or arrangements treated as partnerships or other pass-through entities for U.S. federal income tax purposes (and investors therein); </w:t>
      </w:r>
    </w:p>
    <w:p>
      <w:pPr>
        <w:pStyle w:val="TextBody"/>
        <w:bidi w:val="0"/>
        <w:spacing w:lineRule="auto" w:line="288" w:before="0" w:after="40"/>
        <w:ind w:left="0" w:right="0" w:hanging="360"/>
        <w:jc w:val="left"/>
        <w:rPr/>
      </w:pPr>
      <w:r>
        <w:rPr>
          <w:color w:val="000000"/>
        </w:rPr>
        <w:t>■</w:t>
      </w:r>
      <w:r>
        <w:rPr>
          <w:rFonts w:ascii="Trade Gothic;sans-serif" w:hAnsi="Trade Gothic;sans-serif"/>
          <w:b w:val="false"/>
          <w:color w:val="000000"/>
          <w:sz w:val="20"/>
        </w:rPr>
        <w:t xml:space="preserve">tax-exempt organizations or governmental organizations; </w:t>
      </w:r>
    </w:p>
    <w:p>
      <w:pPr>
        <w:pStyle w:val="TextBody"/>
        <w:bidi w:val="0"/>
        <w:spacing w:lineRule="auto" w:line="288" w:before="0" w:after="40"/>
        <w:ind w:left="0" w:right="0" w:hanging="360"/>
        <w:jc w:val="left"/>
        <w:rPr/>
      </w:pPr>
      <w:r>
        <w:rPr>
          <w:color w:val="000000"/>
        </w:rPr>
        <w:t>■</w:t>
      </w:r>
      <w:r>
        <w:rPr>
          <w:rFonts w:ascii="Trade Gothic;sans-serif" w:hAnsi="Trade Gothic;sans-serif"/>
          <w:b w:val="false"/>
          <w:color w:val="000000"/>
          <w:sz w:val="20"/>
        </w:rPr>
        <w:t xml:space="preserve">persons deemed to sell our common stock under the constructive sale provisions of the Code; </w:t>
      </w:r>
    </w:p>
    <w:p>
      <w:pPr>
        <w:pStyle w:val="TextBody"/>
        <w:bidi w:val="0"/>
        <w:spacing w:lineRule="auto" w:line="288" w:before="0" w:after="40"/>
        <w:ind w:left="0" w:right="0" w:hanging="360"/>
        <w:jc w:val="left"/>
        <w:rPr/>
      </w:pPr>
      <w:r>
        <w:rPr>
          <w:color w:val="000000"/>
        </w:rPr>
        <w:t>■</w:t>
      </w:r>
      <w:r>
        <w:rPr>
          <w:rFonts w:ascii="Trade Gothic;sans-serif" w:hAnsi="Trade Gothic;sans-serif"/>
          <w:b w:val="false"/>
          <w:color w:val="000000"/>
          <w:sz w:val="20"/>
        </w:rPr>
        <w:t xml:space="preserve">persons who hold or receive our common stock pursuant to the exercise of any employee stock option or otherwise as compensation; </w:t>
      </w:r>
    </w:p>
    <w:p>
      <w:pPr>
        <w:pStyle w:val="TextBody"/>
        <w:bidi w:val="0"/>
        <w:spacing w:lineRule="auto" w:line="288" w:before="0" w:after="40"/>
        <w:ind w:left="0" w:right="0" w:hanging="360"/>
        <w:jc w:val="left"/>
        <w:rPr/>
      </w:pPr>
      <w:r>
        <w:rPr>
          <w:color w:val="000000"/>
        </w:rPr>
        <w:t>■</w:t>
      </w:r>
      <w:r>
        <w:rPr>
          <w:rFonts w:ascii="Trade Gothic;sans-serif" w:hAnsi="Trade Gothic;sans-serif"/>
          <w:b w:val="false"/>
          <w:color w:val="000000"/>
          <w:sz w:val="20"/>
        </w:rPr>
        <w:t xml:space="preserve">tax-qualified retirement plans; </w:t>
      </w:r>
    </w:p>
    <w:p>
      <w:pPr>
        <w:pStyle w:val="TextBody"/>
        <w:bidi w:val="0"/>
        <w:spacing w:lineRule="auto" w:line="288" w:before="0" w:after="40"/>
        <w:ind w:left="0" w:right="0" w:hanging="360"/>
        <w:jc w:val="left"/>
        <w:rPr/>
      </w:pPr>
      <w:r>
        <w:rPr>
          <w:color w:val="000000"/>
        </w:rPr>
        <w:t>■</w:t>
      </w:r>
      <w:r>
        <w:rPr>
          <w:rFonts w:ascii="Trade Gothic;sans-serif" w:hAnsi="Trade Gothic;sans-serif"/>
          <w:b w:val="false"/>
          <w:color w:val="000000"/>
          <w:sz w:val="20"/>
        </w:rPr>
        <w:t xml:space="preserve">persons who hold common stock that constitutes “qualified small business stock” under Section 1202 of the Code, or “Section 1244 stock” under Section 1244 of the Code; </w:t>
      </w:r>
    </w:p>
    <w:p>
      <w:pPr>
        <w:pStyle w:val="TextBody"/>
        <w:bidi w:val="0"/>
        <w:spacing w:lineRule="auto" w:line="288" w:before="0" w:after="40"/>
        <w:ind w:left="0" w:right="0" w:hanging="360"/>
        <w:jc w:val="left"/>
        <w:rPr/>
      </w:pPr>
      <w:r>
        <w:rPr>
          <w:color w:val="000000"/>
        </w:rPr>
        <w:t>■</w:t>
      </w:r>
      <w:r>
        <w:rPr>
          <w:rFonts w:ascii="Trade Gothic;sans-serif" w:hAnsi="Trade Gothic;sans-serif"/>
          <w:b w:val="false"/>
          <w:color w:val="000000"/>
          <w:sz w:val="20"/>
        </w:rPr>
        <w:t xml:space="preserve">persons who acquired our common stock in a transaction subject to the gain rollover provisions of the Code (including Section 1045 of the Code); </w:t>
      </w:r>
    </w:p>
    <w:p>
      <w:pPr>
        <w:pStyle w:val="TextBody"/>
        <w:bidi w:val="0"/>
        <w:spacing w:lineRule="auto" w:line="288" w:before="0" w:after="40"/>
        <w:ind w:left="0" w:right="0" w:hanging="360"/>
        <w:jc w:val="left"/>
        <w:rPr/>
      </w:pPr>
      <w:r>
        <w:rPr>
          <w:color w:val="000000"/>
        </w:rPr>
        <w:t>■</w:t>
      </w:r>
      <w:r>
        <w:rPr>
          <w:rFonts w:ascii="Trade Gothic;sans-serif" w:hAnsi="Trade Gothic;sans-serif"/>
          <w:b w:val="false"/>
          <w:color w:val="000000"/>
          <w:sz w:val="20"/>
        </w:rPr>
        <w:t xml:space="preserve">persons that acquired our common stock pursuant to the exercise of warrants or conversion rights under convertible instruments; </w:t>
      </w:r>
    </w:p>
    <w:p>
      <w:pPr>
        <w:pStyle w:val="TextBody"/>
        <w:bidi w:val="0"/>
        <w:spacing w:lineRule="auto" w:line="288" w:before="0" w:after="40"/>
        <w:ind w:left="0" w:right="0" w:hanging="360"/>
        <w:jc w:val="left"/>
        <w:rPr/>
      </w:pPr>
      <w:r>
        <w:rPr>
          <w:color w:val="000000"/>
        </w:rPr>
        <w:t>■</w:t>
      </w:r>
      <w:r>
        <w:rPr>
          <w:rFonts w:ascii="Trade Gothic;sans-serif" w:hAnsi="Trade Gothic;sans-serif"/>
          <w:b w:val="false"/>
          <w:color w:val="000000"/>
          <w:sz w:val="20"/>
        </w:rPr>
        <w:t xml:space="preserve">persons who have elected to mark securities to market; </w:t>
      </w:r>
    </w:p>
    <w:p>
      <w:pPr>
        <w:pStyle w:val="TextBody"/>
        <w:bidi w:val="0"/>
        <w:spacing w:lineRule="auto" w:line="288" w:before="0" w:after="40"/>
        <w:ind w:left="0" w:right="0" w:hanging="360"/>
        <w:jc w:val="left"/>
        <w:rPr/>
      </w:pPr>
      <w:r>
        <w:rPr>
          <w:color w:val="000000"/>
        </w:rPr>
        <w:t>■</w:t>
      </w:r>
      <w:r>
        <w:rPr>
          <w:rFonts w:ascii="Trade Gothic;sans-serif" w:hAnsi="Trade Gothic;sans-serif"/>
          <w:b w:val="false"/>
          <w:color w:val="000000"/>
          <w:sz w:val="20"/>
        </w:rPr>
        <w:t>persons that own, or have owned, actually or constructively, more than 5% of our common stock; and</w:t>
      </w:r>
    </w:p>
    <w:p>
      <w:pPr>
        <w:pStyle w:val="TextBody"/>
        <w:bidi w:val="0"/>
        <w:spacing w:lineRule="auto" w:line="288" w:before="0" w:after="240"/>
        <w:ind w:left="0" w:right="0" w:hanging="360"/>
        <w:jc w:val="left"/>
        <w:rPr/>
      </w:pPr>
      <w:r>
        <w:rPr>
          <w:color w:val="000000"/>
        </w:rPr>
        <w:t>■“</w:t>
      </w:r>
      <w:r>
        <w:rPr>
          <w:rFonts w:ascii="Trade Gothic;sans-serif" w:hAnsi="Trade Gothic;sans-serif"/>
          <w:b w:val="false"/>
          <w:color w:val="000000"/>
          <w:sz w:val="20"/>
        </w:rPr>
        <w:t xml:space="preserve">qualified foreign pension funds” as defined in Section 897(l)(2) of the Code and entities all of the interests of which are held by qualified foreign pension funds. </w:t>
      </w:r>
    </w:p>
    <w:p>
      <w:pPr>
        <w:pStyle w:val="TextBody"/>
        <w:bidi w:val="0"/>
        <w:spacing w:before="0" w:after="0"/>
        <w:jc w:val="right"/>
        <w:rPr/>
      </w:pPr>
      <w:r>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140335"/>
                <wp:effectExtent l="0" t="0" r="0" b="0"/>
                <wp:wrapNone/>
                <wp:docPr id="26" name="Frame25"/>
                <a:graphic xmlns:a="http://schemas.openxmlformats.org/drawingml/2006/main">
                  <a:graphicData uri="http://schemas.microsoft.com/office/word/2010/wordprocessingShape">
                    <wps:wsp>
                      <wps:cNvSpPr txBox="1"/>
                      <wps:spPr>
                        <a:xfrm>
                          <a:off x="0" y="0"/>
                          <a:ext cx="6480175" cy="140335"/>
                        </a:xfrm>
                        <a:prstGeom prst="rect"/>
                        <a:solidFill>
                          <a:srgbClr val="FFFFFF"/>
                        </a:solidFill>
                      </wps:spPr>
                      <wps:txbx>
                        <w:txbxContent>
                          <w:p>
                            <w:pPr>
                              <w:pStyle w:val="TextBody"/>
                              <w:bidi w:val="0"/>
                              <w:spacing w:lineRule="auto" w:line="288" w:before="0" w:after="180"/>
                              <w:jc w:val="center"/>
                              <w:rPr>
                                <w:rFonts w:ascii="Trade Gothic;sans-serif" w:hAnsi="Trade Gothic;sans-serif"/>
                                <w:b w:val="false"/>
                                <w:color w:val="000000"/>
                                <w:sz w:val="19"/>
                              </w:rPr>
                            </w:pPr>
                            <w:r>
                              <w:rPr>
                                <w:rFonts w:ascii="Trade Gothic;sans-serif" w:hAnsi="Trade Gothic;sans-serif"/>
                                <w:b w:val="false"/>
                                <w:color w:val="000000"/>
                                <w:sz w:val="19"/>
                              </w:rPr>
                              <w:t>22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0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180"/>
                        <w:jc w:val="center"/>
                        <w:rPr>
                          <w:rFonts w:ascii="Trade Gothic;sans-serif" w:hAnsi="Trade Gothic;sans-serif"/>
                          <w:b w:val="false"/>
                          <w:color w:val="000000"/>
                          <w:sz w:val="19"/>
                        </w:rPr>
                      </w:pPr>
                      <w:r>
                        <w:rPr>
                          <w:rFonts w:ascii="Trade Gothic;sans-serif" w:hAnsi="Trade Gothic;sans-serif"/>
                          <w:b w:val="false"/>
                          <w:color w:val="000000"/>
                          <w:sz w:val="19"/>
                        </w:rPr>
                        <w:t>22</w:t>
                      </w:r>
                    </w:p>
                  </w:txbxContent>
                </v:textbox>
                <w10:wrap type="none"/>
              </v:rect>
            </w:pict>
          </mc:Fallback>
        </mc:AlternateContent>
      </w:r>
    </w:p>
    <w:p>
      <w:pPr>
        <w:pStyle w:val="TextBody"/>
        <w:bidi w:val="0"/>
        <w:spacing w:lineRule="auto" w:line="288" w:before="0" w:after="240"/>
        <w:jc w:val="left"/>
        <w:rPr>
          <w:rFonts w:ascii="Trade Gothic;sans-serif" w:hAnsi="Trade Gothic;sans-serif"/>
          <w:b w:val="false"/>
          <w:color w:val="000000"/>
          <w:sz w:val="20"/>
        </w:rPr>
      </w:pPr>
      <w:r>
        <w:rPr>
          <w:rFonts w:ascii="Trade Gothic;sans-serif" w:hAnsi="Trade Gothic;sans-serif"/>
          <w:b w:val="false"/>
          <w:color w:val="000000"/>
          <w:sz w:val="20"/>
        </w:rPr>
        <w:t xml:space="preserve">If an entity that is classified as a partnership for U.S. federal income tax purposes holds our common stock, the tax treatment of persons treated as its partners for U.S. federal income tax purposes will generally depend upon the status of the partner and the activities of the partnership. Partnerships and other entities that are classified as partnerships for U.S. federal income tax purposes and persons holding our common stock through a partnership or other entity classified as a partnership for U.S. federal income tax purposes are urged to consult their own tax advisors. </w:t>
      </w:r>
    </w:p>
    <w:p>
      <w:pPr>
        <w:pStyle w:val="TextBody"/>
        <w:bidi w:val="0"/>
        <w:spacing w:lineRule="auto" w:line="288" w:before="0" w:after="240"/>
        <w:jc w:val="left"/>
        <w:rPr>
          <w:rFonts w:ascii="Trade Gothic;sans-serif" w:hAnsi="Trade Gothic;sans-serif"/>
          <w:b w:val="false"/>
          <w:color w:val="000000"/>
          <w:sz w:val="20"/>
        </w:rPr>
      </w:pPr>
      <w:r>
        <w:rPr>
          <w:rFonts w:ascii="Trade Gothic;sans-serif" w:hAnsi="Trade Gothic;sans-serif"/>
          <w:b w:val="false"/>
          <w:color w:val="000000"/>
          <w:sz w:val="20"/>
        </w:rPr>
        <w:t xml:space="preserve">There can be no assurance that the IRS will not challenge one or more of the tax consequences described herein, and we have not obtained, nor do we intend to obtain, a ruling from the IRS with respect to the U.S. federal income tax consequences to a Non-U.S. Holder of the purchase, ownership or disposition of our common stock. </w:t>
      </w:r>
    </w:p>
    <w:p>
      <w:pPr>
        <w:pStyle w:val="TextBody"/>
        <w:bidi w:val="0"/>
        <w:spacing w:lineRule="auto" w:line="288" w:before="0" w:after="240"/>
        <w:jc w:val="left"/>
        <w:rPr>
          <w:rFonts w:ascii="Trade Gothic;sans-serif" w:hAnsi="Trade Gothic;sans-serif"/>
          <w:b/>
          <w:color w:val="000000"/>
          <w:sz w:val="20"/>
        </w:rPr>
      </w:pPr>
      <w:r>
        <w:rPr>
          <w:rFonts w:ascii="Trade Gothic;sans-serif" w:hAnsi="Trade Gothic;sans-serif"/>
          <w:b/>
          <w:color w:val="000000"/>
          <w:sz w:val="20"/>
        </w:rPr>
        <w:t xml:space="preserve">THIS SUMMARY IS FOR GENERAL INFORMATION ONLY AND IS NOT INTENDED TO BE TAX ADVICE. NON-U.S. HOLDERS ARE URGED TO CONSULT THEIR TAX ADVISORS CONCERNING THE U.S. FEDERAL INCOME, STATE, LOCAL, NON-U.S. AND OTHER TAX CONSEQUENCES TO THEM OF THE PURCHASE, OWNERSHIP AND DISPOSITION OF OUR COMMON STOCK. </w:t>
      </w:r>
    </w:p>
    <w:p>
      <w:pPr>
        <w:pStyle w:val="TextBody"/>
        <w:bidi w:val="0"/>
        <w:spacing w:lineRule="auto" w:line="288" w:before="240" w:after="80"/>
        <w:jc w:val="left"/>
        <w:rPr>
          <w:rFonts w:ascii="Trade Gothic;sans-serif" w:hAnsi="Trade Gothic;sans-serif"/>
          <w:b/>
          <w:color w:val="000000"/>
          <w:sz w:val="20"/>
        </w:rPr>
      </w:pPr>
      <w:r>
        <w:rPr>
          <w:rFonts w:ascii="Trade Gothic;sans-serif" w:hAnsi="Trade Gothic;sans-serif"/>
          <w:b/>
          <w:color w:val="000000"/>
          <w:sz w:val="20"/>
        </w:rPr>
        <w:t>Distributions on Our Common Stock</w:t>
      </w:r>
    </w:p>
    <w:p>
      <w:pPr>
        <w:pStyle w:val="TextBody"/>
        <w:bidi w:val="0"/>
        <w:spacing w:lineRule="auto" w:line="288" w:before="0" w:after="240"/>
        <w:jc w:val="left"/>
        <w:rPr>
          <w:rFonts w:ascii="Trade Gothic;sans-serif" w:hAnsi="Trade Gothic;sans-serif"/>
          <w:b w:val="false"/>
          <w:color w:val="000000"/>
          <w:sz w:val="20"/>
        </w:rPr>
      </w:pPr>
      <w:r>
        <w:rPr>
          <w:rFonts w:ascii="Trade Gothic;sans-serif" w:hAnsi="Trade Gothic;sans-serif"/>
          <w:b w:val="false"/>
          <w:color w:val="000000"/>
          <w:sz w:val="20"/>
        </w:rPr>
        <w:t xml:space="preserve">We do not currently expect to make distributions with respect to our common stock. If we make a distribution of cash or property with respect to our common stock, any such distributions generally will constitute dividends for U.S. federal income tax purposes to the extent of our current and accumulated earnings and profits, if any, as determined under U.S. federal income tax principles. If a distribution exceeds our current and accumulated earnings and profits, the excess will constitute a return of capital and will first reduce the holder’s adjusted tax basis in our common stock, but not below zero. Any remaining excess will be treated as capital gain, subject to the tax treatment described below in “-Gain on Sale, Exchange or Other Taxable Disposition of Our Common Stock.” Any such distribution would also be subject to the discussions below regarding effectively connected income and under the sections titled “-Additional Withholding and Reporting Requirements” and “-Backup Withholding and Information Reporting.” </w:t>
      </w:r>
    </w:p>
    <w:p>
      <w:pPr>
        <w:pStyle w:val="TextBody"/>
        <w:bidi w:val="0"/>
        <w:spacing w:lineRule="auto" w:line="288" w:before="0" w:after="240"/>
        <w:jc w:val="left"/>
        <w:rPr>
          <w:rFonts w:ascii="Trade Gothic;sans-serif" w:hAnsi="Trade Gothic;sans-serif"/>
          <w:b w:val="false"/>
          <w:color w:val="000000"/>
          <w:sz w:val="20"/>
        </w:rPr>
      </w:pPr>
      <w:r>
        <w:rPr>
          <w:rFonts w:ascii="Trade Gothic;sans-serif" w:hAnsi="Trade Gothic;sans-serif"/>
          <w:b w:val="false"/>
          <w:color w:val="000000"/>
          <w:sz w:val="20"/>
        </w:rPr>
        <w:t xml:space="preserve">Dividends paid to a Non-U.S. Holder generally will be subject to a 30% U.S. federal withholding tax unless such Non-U.S. Holder provides us or our agent, as the case may be, with an appropriate IRS Form W-8 establishing a reduction or exemption, such as: </w:t>
      </w:r>
    </w:p>
    <w:p>
      <w:pPr>
        <w:pStyle w:val="TextBody"/>
        <w:bidi w:val="0"/>
        <w:spacing w:lineRule="auto" w:line="288" w:before="0" w:after="40"/>
        <w:ind w:left="0" w:right="0" w:hanging="360"/>
        <w:jc w:val="left"/>
        <w:rPr/>
      </w:pPr>
      <w:r>
        <w:rPr>
          <w:color w:val="000000"/>
        </w:rPr>
        <w:t>■</w:t>
      </w:r>
      <w:r>
        <w:rPr>
          <w:rFonts w:ascii="Trade Gothic;sans-serif" w:hAnsi="Trade Gothic;sans-serif"/>
          <w:b w:val="false"/>
          <w:color w:val="000000"/>
          <w:sz w:val="20"/>
        </w:rPr>
        <w:t xml:space="preserve">IRS Form W-8BEN or W-8BEN-E (or successor form) certifying, under penalties of perjury, a reduction or exemption in withholding under an applicable income tax treaty, or </w:t>
      </w:r>
    </w:p>
    <w:p>
      <w:pPr>
        <w:pStyle w:val="TextBody"/>
        <w:bidi w:val="0"/>
        <w:spacing w:lineRule="auto" w:line="288" w:before="0" w:after="240"/>
        <w:ind w:left="0" w:right="0" w:hanging="360"/>
        <w:jc w:val="left"/>
        <w:rPr/>
      </w:pPr>
      <w:r>
        <w:rPr>
          <w:color w:val="000000"/>
        </w:rPr>
        <w:t>■</w:t>
      </w:r>
      <w:r>
        <w:rPr>
          <w:rFonts w:ascii="Trade Gothic;sans-serif" w:hAnsi="Trade Gothic;sans-serif"/>
          <w:b w:val="false"/>
          <w:color w:val="000000"/>
          <w:sz w:val="20"/>
        </w:rPr>
        <w:t xml:space="preserve">IRS Form W-8ECI (or successor form) certifying that a dividend paid on our common stock is not subject to withholding tax because it is effectively connected with a trade or business in the United States of the Non-U.S. Holder (in which case such dividend generally will be subject to regular graduated U.S. tax rates as described below). </w:t>
      </w:r>
    </w:p>
    <w:p>
      <w:pPr>
        <w:pStyle w:val="TextBody"/>
        <w:bidi w:val="0"/>
        <w:spacing w:lineRule="auto" w:line="288" w:before="0" w:after="240"/>
        <w:jc w:val="left"/>
        <w:rPr>
          <w:rFonts w:ascii="Trade Gothic;sans-serif" w:hAnsi="Trade Gothic;sans-serif"/>
          <w:b w:val="false"/>
          <w:color w:val="000000"/>
          <w:sz w:val="20"/>
        </w:rPr>
      </w:pPr>
      <w:r>
        <w:rPr>
          <w:rFonts w:ascii="Trade Gothic;sans-serif" w:hAnsi="Trade Gothic;sans-serif"/>
          <w:b w:val="false"/>
          <w:color w:val="000000"/>
          <w:sz w:val="20"/>
        </w:rPr>
        <w:t xml:space="preserve">The certification requirement described above must be provided to us or our agent prior to the payment of dividends and must be updated periodically. The certification also may require a Non-U.S. Holder that provides an IRS form or that claims treaty benefits to provide its U.S. taxpayer identification number. Special certification and other requirements apply in the case of certain Non-U.S. Holders that hold shares of our common stock through intermediaries or are pass-through entities for U.S. federal income tax purposes. </w:t>
      </w:r>
    </w:p>
    <w:p>
      <w:pPr>
        <w:pStyle w:val="TextBody"/>
        <w:bidi w:val="0"/>
        <w:spacing w:lineRule="auto" w:line="288" w:before="0" w:after="240"/>
        <w:jc w:val="left"/>
        <w:rPr>
          <w:rFonts w:ascii="Trade Gothic;sans-serif" w:hAnsi="Trade Gothic;sans-serif"/>
          <w:b w:val="false"/>
          <w:color w:val="000000"/>
          <w:sz w:val="20"/>
        </w:rPr>
      </w:pPr>
      <w:r>
        <w:rPr>
          <w:rFonts w:ascii="Trade Gothic;sans-serif" w:hAnsi="Trade Gothic;sans-serif"/>
          <w:b w:val="false"/>
          <w:color w:val="000000"/>
          <w:sz w:val="20"/>
        </w:rPr>
        <w:t xml:space="preserve">Each Non-U.S. Holder is urged to consult its own tax advisor about the specific methods for satisfying these requirements. A claim for reduction or exemption will not be valid if the person receiving the applicable form has actual knowledge or reason to know that the statements on the form are false. </w:t>
      </w:r>
    </w:p>
    <w:p>
      <w:pPr>
        <w:pStyle w:val="TextBody"/>
        <w:bidi w:val="0"/>
        <w:spacing w:lineRule="auto" w:line="288" w:before="0" w:after="240"/>
        <w:jc w:val="left"/>
        <w:rPr>
          <w:rFonts w:ascii="Trade Gothic;sans-serif" w:hAnsi="Trade Gothic;sans-serif"/>
          <w:b w:val="false"/>
          <w:color w:val="000000"/>
          <w:sz w:val="20"/>
        </w:rPr>
      </w:pPr>
      <w:r>
        <w:rPr>
          <w:rFonts w:ascii="Trade Gothic;sans-serif" w:hAnsi="Trade Gothic;sans-serif"/>
          <w:b w:val="false"/>
          <w:color w:val="000000"/>
          <w:sz w:val="20"/>
        </w:rPr>
        <w:t xml:space="preserve">If dividends are effectively connected with a trade or business in the United States of a Non-U.S. Holder (and, if required by an applicable income tax treaty, are attributable to a permanent establishment maintained by such Non-U.S. Holder in the United States), the Non-U.S. Holder, although eligible for a reduction or exemption from </w:t>
      </w:r>
    </w:p>
    <w:p>
      <w:pPr>
        <w:pStyle w:val="TextBody"/>
        <w:bidi w:val="0"/>
        <w:spacing w:lineRule="auto" w:line="288" w:before="0" w:after="240"/>
        <w:jc w:val="left"/>
        <w:rPr>
          <w:rFonts w:ascii="Trade Gothic;sans-serif" w:hAnsi="Trade Gothic;sans-serif"/>
          <w:b w:val="false"/>
          <w:color w:val="000000"/>
          <w:sz w:val="20"/>
        </w:rPr>
      </w:pPr>
      <w:r>
        <w:rPr>
          <w:rFonts w:ascii="Trade Gothic;sans-serif" w:hAnsi="Trade Gothic;sans-serif"/>
          <w:b w:val="false"/>
          <w:color w:val="000000"/>
          <w:sz w:val="20"/>
        </w:rPr>
        <w:t xml:space="preserve">the withholding tax as described above (provided that the certification requirement described above is satisfied), generally will be subject to U.S. federal income tax on such dividends on a net income basis in the same manner as if it were a resident of the United States. In addition, if a Non-U.S. Holder is treated as a corporation for U.S. federal income tax purposes, the Non-U.S. Holder may be subject to an additional “branch profits tax” equal to </w:t>
      </w:r>
    </w:p>
    <w:p>
      <w:pPr>
        <w:pStyle w:val="TextBody"/>
        <w:bidi w:val="0"/>
        <w:spacing w:before="0" w:after="0"/>
        <w:jc w:val="right"/>
        <w:rPr/>
      </w:pPr>
      <w:r>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480175" cy="140335"/>
                <wp:effectExtent l="0" t="0" r="0" b="0"/>
                <wp:wrapNone/>
                <wp:docPr id="27" name="Frame26"/>
                <a:graphic xmlns:a="http://schemas.openxmlformats.org/drawingml/2006/main">
                  <a:graphicData uri="http://schemas.microsoft.com/office/word/2010/wordprocessingShape">
                    <wps:wsp>
                      <wps:cNvSpPr txBox="1"/>
                      <wps:spPr>
                        <a:xfrm>
                          <a:off x="0" y="0"/>
                          <a:ext cx="6480175" cy="140335"/>
                        </a:xfrm>
                        <a:prstGeom prst="rect"/>
                        <a:solidFill>
                          <a:srgbClr val="FFFFFF"/>
                        </a:solidFill>
                      </wps:spPr>
                      <wps:txbx>
                        <w:txbxContent>
                          <w:p>
                            <w:pPr>
                              <w:pStyle w:val="TextBody"/>
                              <w:bidi w:val="0"/>
                              <w:spacing w:lineRule="auto" w:line="288" w:before="0" w:after="180"/>
                              <w:jc w:val="center"/>
                              <w:rPr>
                                <w:rFonts w:ascii="Trade Gothic;sans-serif" w:hAnsi="Trade Gothic;sans-serif"/>
                                <w:b w:val="false"/>
                                <w:color w:val="000000"/>
                                <w:sz w:val="19"/>
                              </w:rPr>
                            </w:pPr>
                            <w:r>
                              <w:rPr>
                                <w:rFonts w:ascii="Trade Gothic;sans-serif" w:hAnsi="Trade Gothic;sans-serif"/>
                                <w:b w:val="false"/>
                                <w:color w:val="000000"/>
                                <w:sz w:val="19"/>
                              </w:rPr>
                              <w:t>23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0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180"/>
                        <w:jc w:val="center"/>
                        <w:rPr>
                          <w:rFonts w:ascii="Trade Gothic;sans-serif" w:hAnsi="Trade Gothic;sans-serif"/>
                          <w:b w:val="false"/>
                          <w:color w:val="000000"/>
                          <w:sz w:val="19"/>
                        </w:rPr>
                      </w:pPr>
                      <w:r>
                        <w:rPr>
                          <w:rFonts w:ascii="Trade Gothic;sans-serif" w:hAnsi="Trade Gothic;sans-serif"/>
                          <w:b w:val="false"/>
                          <w:color w:val="000000"/>
                          <w:sz w:val="19"/>
                        </w:rPr>
                        <w:t>23</w:t>
                      </w:r>
                    </w:p>
                  </w:txbxContent>
                </v:textbox>
                <w10:wrap type="none"/>
              </v:rect>
            </w:pict>
          </mc:Fallback>
        </mc:AlternateContent>
      </w:r>
    </w:p>
    <w:p>
      <w:pPr>
        <w:pStyle w:val="TextBody"/>
        <w:bidi w:val="0"/>
        <w:spacing w:lineRule="auto" w:line="288" w:before="0" w:after="240"/>
        <w:jc w:val="left"/>
        <w:rPr>
          <w:rFonts w:ascii="Trade Gothic;sans-serif" w:hAnsi="Trade Gothic;sans-serif"/>
          <w:b w:val="false"/>
          <w:color w:val="000000"/>
          <w:sz w:val="20"/>
        </w:rPr>
      </w:pPr>
      <w:r>
        <w:rPr>
          <w:rFonts w:ascii="Trade Gothic;sans-serif" w:hAnsi="Trade Gothic;sans-serif"/>
          <w:b w:val="false"/>
          <w:color w:val="000000"/>
          <w:sz w:val="20"/>
        </w:rPr>
        <w:t xml:space="preserve">30% (unless reduced by an applicable income treaty) of its earnings and profits in respect of such effectively connected dividend income, as adjusted for certain items. </w:t>
      </w:r>
    </w:p>
    <w:p>
      <w:pPr>
        <w:pStyle w:val="TextBody"/>
        <w:bidi w:val="0"/>
        <w:spacing w:lineRule="auto" w:line="288" w:before="0" w:after="240"/>
        <w:jc w:val="left"/>
        <w:rPr>
          <w:rFonts w:ascii="Trade Gothic;sans-serif" w:hAnsi="Trade Gothic;sans-serif"/>
          <w:b w:val="false"/>
          <w:color w:val="000000"/>
          <w:sz w:val="20"/>
        </w:rPr>
      </w:pPr>
      <w:r>
        <w:rPr>
          <w:rFonts w:ascii="Trade Gothic;sans-serif" w:hAnsi="Trade Gothic;sans-serif"/>
          <w:b w:val="false"/>
          <w:color w:val="000000"/>
          <w:sz w:val="20"/>
        </w:rPr>
        <w:t xml:space="preserve">Non-U.S. Holders that do not timely provide us or our agent with the required certification, but which are eligible for a reduced rate of or exemption from U.S. federal withholding tax pursuant to an income tax treaty, may obtain a refund or credit of any excess amount withheld by timely filing an appropriate claim for refund with the IRS. </w:t>
      </w:r>
    </w:p>
    <w:p>
      <w:pPr>
        <w:pStyle w:val="TextBody"/>
        <w:bidi w:val="0"/>
        <w:spacing w:lineRule="auto" w:line="288" w:before="240" w:after="80"/>
        <w:jc w:val="left"/>
        <w:rPr>
          <w:rFonts w:ascii="Trade Gothic;sans-serif" w:hAnsi="Trade Gothic;sans-serif"/>
          <w:b/>
          <w:color w:val="000000"/>
          <w:sz w:val="20"/>
        </w:rPr>
      </w:pPr>
      <w:r>
        <w:rPr>
          <w:rFonts w:ascii="Trade Gothic;sans-serif" w:hAnsi="Trade Gothic;sans-serif"/>
          <w:b/>
          <w:color w:val="000000"/>
          <w:sz w:val="20"/>
        </w:rPr>
        <w:t xml:space="preserve">Gain on Sale, Exchange or Other Taxable Disposition of Our Common Stock </w:t>
      </w:r>
    </w:p>
    <w:p>
      <w:pPr>
        <w:pStyle w:val="TextBody"/>
        <w:bidi w:val="0"/>
        <w:spacing w:lineRule="auto" w:line="288" w:before="0" w:after="240"/>
        <w:jc w:val="left"/>
        <w:rPr>
          <w:rFonts w:ascii="Trade Gothic;sans-serif" w:hAnsi="Trade Gothic;sans-serif"/>
          <w:b w:val="false"/>
          <w:color w:val="000000"/>
          <w:sz w:val="20"/>
        </w:rPr>
      </w:pPr>
      <w:r>
        <w:rPr>
          <w:rFonts w:ascii="Trade Gothic;sans-serif" w:hAnsi="Trade Gothic;sans-serif"/>
          <w:b w:val="false"/>
          <w:color w:val="000000"/>
          <w:sz w:val="20"/>
        </w:rPr>
        <w:t xml:space="preserve">Subject to the discussions below under the sections titled “-Additional Withholding and Reporting Requirements” and “-Backup Withholding and Information Reporting,” in general, a Non-U.S. Holder will not be subject to U.S. federal income tax or withholding tax on gain realized upon such holder’s sale, exchange or other taxable disposition of shares of our common stock, unless (1) such Non-U.S. Holder is an individual who is present in the United States for 183 days or more in the taxable year of disposition, and certain other conditions are met, (2) we are or have been a “United States real property holding corporation,” as defined in the Code, or a USRPHC, at any time within the shorter of the five-year period preceding the disposition and the Non-U.S. Holder’s holding period in the shares of our common stock, and certain other requirements are met, or (3) such gain is effectively connected with the conduct by such Non-U.S. Holder of a trade or business in the United States (and, if required by an applicable income tax treaty, is attributable to a permanent establishment maintained by such Non-U.S. Holder in the United States). </w:t>
      </w:r>
    </w:p>
    <w:p>
      <w:pPr>
        <w:pStyle w:val="TextBody"/>
        <w:bidi w:val="0"/>
        <w:spacing w:lineRule="auto" w:line="288" w:before="0" w:after="240"/>
        <w:jc w:val="left"/>
        <w:rPr>
          <w:rFonts w:ascii="Trade Gothic;sans-serif" w:hAnsi="Trade Gothic;sans-serif"/>
          <w:b w:val="false"/>
          <w:color w:val="000000"/>
          <w:sz w:val="20"/>
        </w:rPr>
      </w:pPr>
      <w:r>
        <w:rPr>
          <w:rFonts w:ascii="Trade Gothic;sans-serif" w:hAnsi="Trade Gothic;sans-serif"/>
          <w:b w:val="false"/>
          <w:color w:val="000000"/>
          <w:sz w:val="20"/>
        </w:rPr>
        <w:t xml:space="preserve">If the first exception described above applies, the Non-U.S. Holder generally will be subject to U.S. federal income tax at a rate of 30% (or at a reduced rate under an applicable income tax treaty) on the amount by which such Non-U.S. Holder’s capital gains allocable to U.S. sources exceed capital losses allocable to U.S. sources during the taxable year of the disposition (provided that the Non-U.S. Holder has timely filed U.S. federal income tax returns with respect to such losses). If the third exception described above applies, the Non-U.S. Holder generally will be subject to U.S. federal income tax with respect to such gain on a net income basis in the same manner as if it were a resident of the United States and a Non-U.S. Holder that is a corporation for U.S. federal income tax purposes may also be subject to a branch profits tax with respect to any earnings and profits attributable to such gain at a rate of 30% (or at a reduced rate under an applicable income tax treaty). </w:t>
      </w:r>
    </w:p>
    <w:p>
      <w:pPr>
        <w:pStyle w:val="TextBody"/>
        <w:bidi w:val="0"/>
        <w:spacing w:lineRule="auto" w:line="288" w:before="0" w:after="240"/>
        <w:jc w:val="left"/>
        <w:rPr>
          <w:rFonts w:ascii="Trade Gothic;sans-serif" w:hAnsi="Trade Gothic;sans-serif"/>
          <w:b w:val="false"/>
          <w:color w:val="000000"/>
          <w:sz w:val="20"/>
        </w:rPr>
      </w:pPr>
      <w:r>
        <w:rPr>
          <w:rFonts w:ascii="Trade Gothic;sans-serif" w:hAnsi="Trade Gothic;sans-serif"/>
          <w:b w:val="false"/>
          <w:color w:val="000000"/>
          <w:sz w:val="20"/>
        </w:rPr>
        <w:t xml:space="preserve">With respect to the second exception described above, generally, a corporation is a USRPHC only if the fair market value of its U.S. real property interests (as defined in the Code) equals or exceeds 50% of the sum of the fair market value of its worldwide real property interests plus its other assets used or held for use in a trade or business. We believe that we are not, and do not anticipate becoming, a USRPHC. Even if we became a USRPHC, a Non-U.S. Holder would not be subject to U.S. federal income tax on a sale, exchange or other taxable disposition of our common stock by reason of our status as USRPHC so long as our common stock is regularly traded on an established securities market at any time during the calendar year in which the disposition occurs and the Non-U.S. Holder does not own and is not deemed to own (directly, indirectly or constructively) more than 5% of our common stock at any time during the shorter of the five year period ending on the date of disposition and the holder’s holding period. </w:t>
      </w:r>
    </w:p>
    <w:p>
      <w:pPr>
        <w:pStyle w:val="TextBody"/>
        <w:bidi w:val="0"/>
        <w:spacing w:lineRule="auto" w:line="288" w:before="240" w:after="80"/>
        <w:jc w:val="left"/>
        <w:rPr>
          <w:rFonts w:ascii="Trade Gothic;sans-serif" w:hAnsi="Trade Gothic;sans-serif"/>
          <w:b/>
          <w:color w:val="000000"/>
          <w:sz w:val="20"/>
        </w:rPr>
      </w:pPr>
      <w:r>
        <w:rPr>
          <w:rFonts w:ascii="Trade Gothic;sans-serif" w:hAnsi="Trade Gothic;sans-serif"/>
          <w:b/>
          <w:color w:val="000000"/>
          <w:sz w:val="20"/>
        </w:rPr>
        <w:t xml:space="preserve">Additional Withholding and Reporting Requirements </w:t>
      </w:r>
    </w:p>
    <w:p>
      <w:pPr>
        <w:pStyle w:val="TextBody"/>
        <w:bidi w:val="0"/>
        <w:spacing w:lineRule="auto" w:line="288" w:before="0" w:after="240"/>
        <w:jc w:val="left"/>
        <w:rPr>
          <w:rFonts w:ascii="Trade Gothic;sans-serif" w:hAnsi="Trade Gothic;sans-serif"/>
          <w:b w:val="false"/>
          <w:color w:val="000000"/>
          <w:sz w:val="20"/>
        </w:rPr>
      </w:pPr>
      <w:r>
        <w:rPr>
          <w:rFonts w:ascii="Trade Gothic;sans-serif" w:hAnsi="Trade Gothic;sans-serif"/>
          <w:b w:val="false"/>
          <w:color w:val="000000"/>
          <w:sz w:val="20"/>
        </w:rPr>
        <w:t xml:space="preserve">The Foreign Account Tax Compliance Act, Sections 1471 through 1474 of the Code, and related Treasury regulations, together with other U.S. Treasury Department and IRS guidance issued thereunder, or FATCA, impose a U.S. federal withholding tax of 30% on certain payments, including dividends paid on our common stock, paid to (1) a “foreign financial institution” (as defined under FATCA) unless such institution furnishes proper documentation (typically on IRS Form W-8BEN-E) evidencing either (i) an exemption from FATCA withholding, (ii) its compliance (or deemed compliance) with specified due diligence, reporting, withholding and certification obligations under FATCA or (iii) residence in a jurisdiction that has entered into an intergovernmental agreement with the United States relating to FATCA and compliance with the diligence and </w:t>
      </w:r>
    </w:p>
    <w:p>
      <w:pPr>
        <w:pStyle w:val="TextBody"/>
        <w:bidi w:val="0"/>
        <w:spacing w:lineRule="auto" w:line="288" w:before="0" w:after="240"/>
        <w:jc w:val="left"/>
        <w:rPr>
          <w:rFonts w:ascii="Trade Gothic;sans-serif" w:hAnsi="Trade Gothic;sans-serif"/>
          <w:b w:val="false"/>
          <w:color w:val="000000"/>
          <w:sz w:val="20"/>
        </w:rPr>
      </w:pPr>
      <w:r>
        <w:rPr>
          <w:rFonts w:ascii="Trade Gothic;sans-serif" w:hAnsi="Trade Gothic;sans-serif"/>
          <w:b w:val="false"/>
          <w:color w:val="000000"/>
          <w:sz w:val="20"/>
        </w:rPr>
        <w:t xml:space="preserve">reporting requirements of the intergovernmental agreement and local implementing rules; or (2) a “non-financial foreign entity” (as defined under FATCA) that does not furnish proper documentation, typically on IRS Form W-8BEN-E, evidencing either (i) an exemption from FATCA or (ii) adequate information regarding substantial U.S. beneficial owners of such entity (if any). An intergovernmental agreement between the United States and an </w:t>
      </w:r>
    </w:p>
    <w:p>
      <w:pPr>
        <w:pStyle w:val="TextBody"/>
        <w:bidi w:val="0"/>
        <w:spacing w:before="0" w:after="0"/>
        <w:jc w:val="right"/>
        <w:rPr/>
      </w:pPr>
      <w:r>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480175" cy="140335"/>
                <wp:effectExtent l="0" t="0" r="0" b="0"/>
                <wp:wrapNone/>
                <wp:docPr id="28" name="Frame27"/>
                <a:graphic xmlns:a="http://schemas.openxmlformats.org/drawingml/2006/main">
                  <a:graphicData uri="http://schemas.microsoft.com/office/word/2010/wordprocessingShape">
                    <wps:wsp>
                      <wps:cNvSpPr txBox="1"/>
                      <wps:spPr>
                        <a:xfrm>
                          <a:off x="0" y="0"/>
                          <a:ext cx="6480175" cy="140335"/>
                        </a:xfrm>
                        <a:prstGeom prst="rect"/>
                        <a:solidFill>
                          <a:srgbClr val="FFFFFF"/>
                        </a:solidFill>
                      </wps:spPr>
                      <wps:txbx>
                        <w:txbxContent>
                          <w:p>
                            <w:pPr>
                              <w:pStyle w:val="TextBody"/>
                              <w:bidi w:val="0"/>
                              <w:spacing w:lineRule="auto" w:line="288" w:before="0" w:after="180"/>
                              <w:jc w:val="center"/>
                              <w:rPr>
                                <w:rFonts w:ascii="Trade Gothic;sans-serif" w:hAnsi="Trade Gothic;sans-serif"/>
                                <w:b w:val="false"/>
                                <w:color w:val="000000"/>
                                <w:sz w:val="19"/>
                              </w:rPr>
                            </w:pPr>
                            <w:r>
                              <w:rPr>
                                <w:rFonts w:ascii="Trade Gothic;sans-serif" w:hAnsi="Trade Gothic;sans-serif"/>
                                <w:b w:val="false"/>
                                <w:color w:val="000000"/>
                                <w:sz w:val="19"/>
                              </w:rPr>
                              <w:t>24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0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180"/>
                        <w:jc w:val="center"/>
                        <w:rPr>
                          <w:rFonts w:ascii="Trade Gothic;sans-serif" w:hAnsi="Trade Gothic;sans-serif"/>
                          <w:b w:val="false"/>
                          <w:color w:val="000000"/>
                          <w:sz w:val="19"/>
                        </w:rPr>
                      </w:pPr>
                      <w:r>
                        <w:rPr>
                          <w:rFonts w:ascii="Trade Gothic;sans-serif" w:hAnsi="Trade Gothic;sans-serif"/>
                          <w:b w:val="false"/>
                          <w:color w:val="000000"/>
                          <w:sz w:val="19"/>
                        </w:rPr>
                        <w:t>24</w:t>
                      </w:r>
                    </w:p>
                  </w:txbxContent>
                </v:textbox>
                <w10:wrap type="none"/>
              </v:rect>
            </w:pict>
          </mc:Fallback>
        </mc:AlternateContent>
      </w:r>
    </w:p>
    <w:p>
      <w:pPr>
        <w:pStyle w:val="TextBody"/>
        <w:bidi w:val="0"/>
        <w:spacing w:lineRule="auto" w:line="288" w:before="0" w:after="240"/>
        <w:jc w:val="left"/>
        <w:rPr>
          <w:rFonts w:ascii="Trade Gothic;sans-serif" w:hAnsi="Trade Gothic;sans-serif"/>
          <w:b w:val="false"/>
          <w:color w:val="000000"/>
          <w:sz w:val="20"/>
        </w:rPr>
      </w:pPr>
      <w:r>
        <w:rPr>
          <w:rFonts w:ascii="Trade Gothic;sans-serif" w:hAnsi="Trade Gothic;sans-serif"/>
          <w:b w:val="false"/>
          <w:color w:val="000000"/>
          <w:sz w:val="20"/>
        </w:rPr>
        <w:t xml:space="preserve">applicable foreign country, and legislation, rules and other official guidance adopted pursuant to such intergovernmental agreement, may modify these requirements. </w:t>
      </w:r>
    </w:p>
    <w:p>
      <w:pPr>
        <w:pStyle w:val="TextBody"/>
        <w:bidi w:val="0"/>
        <w:spacing w:lineRule="auto" w:line="288" w:before="0" w:after="240"/>
        <w:jc w:val="left"/>
        <w:rPr>
          <w:rFonts w:ascii="Trade Gothic;sans-serif" w:hAnsi="Trade Gothic;sans-serif"/>
          <w:b w:val="false"/>
          <w:color w:val="000000"/>
          <w:sz w:val="20"/>
        </w:rPr>
      </w:pPr>
      <w:r>
        <w:rPr>
          <w:rFonts w:ascii="Trade Gothic;sans-serif" w:hAnsi="Trade Gothic;sans-serif"/>
          <w:b w:val="false"/>
          <w:color w:val="000000"/>
          <w:sz w:val="20"/>
        </w:rPr>
        <w:t xml:space="preserve">The IRS and the U.S. Treasury Department have issued proposed regulations on which taxpayers may rely providing that these withholding rules will not apply to the gross proceeds of a sale or other disposition of shares of our common stock. Prospective investors should consult their own tax advisors regarding the effect of FATCA on their ownership and disposition of our common stock. </w:t>
      </w:r>
    </w:p>
    <w:p>
      <w:pPr>
        <w:pStyle w:val="TextBody"/>
        <w:bidi w:val="0"/>
        <w:spacing w:lineRule="auto" w:line="288" w:before="240" w:after="80"/>
        <w:jc w:val="left"/>
        <w:rPr>
          <w:rFonts w:ascii="Trade Gothic;sans-serif" w:hAnsi="Trade Gothic;sans-serif"/>
          <w:b/>
          <w:color w:val="000000"/>
          <w:sz w:val="20"/>
        </w:rPr>
      </w:pPr>
      <w:r>
        <w:rPr>
          <w:rFonts w:ascii="Trade Gothic;sans-serif" w:hAnsi="Trade Gothic;sans-serif"/>
          <w:b/>
          <w:color w:val="000000"/>
          <w:sz w:val="20"/>
        </w:rPr>
        <w:t xml:space="preserve">Backup Withholding and Information Reporting </w:t>
      </w:r>
    </w:p>
    <w:p>
      <w:pPr>
        <w:pStyle w:val="TextBody"/>
        <w:bidi w:val="0"/>
        <w:spacing w:lineRule="auto" w:line="288" w:before="0" w:after="240"/>
        <w:jc w:val="left"/>
        <w:rPr>
          <w:rFonts w:ascii="Trade Gothic;sans-serif" w:hAnsi="Trade Gothic;sans-serif"/>
          <w:b w:val="false"/>
          <w:color w:val="000000"/>
          <w:sz w:val="20"/>
        </w:rPr>
      </w:pPr>
      <w:r>
        <w:rPr>
          <w:rFonts w:ascii="Trade Gothic;sans-serif" w:hAnsi="Trade Gothic;sans-serif"/>
          <w:b w:val="false"/>
          <w:color w:val="000000"/>
          <w:sz w:val="20"/>
        </w:rPr>
        <w:t xml:space="preserve">We must report annually to the IRS and to each Non-U.S. Holder the gross amount of the distributions on our common stock paid to the holder and the tax withheld, if any, with respect to the distributions. Non-U.S. Holders may have to comply with specific certification procedures (such as the provision of a properly completed IRS Form W-8BEN or IRS Form W-8BEN-E) to establish that the holder is not a United States person (as defined in the Code) in order to avoid backup withholding at the applicable rate, currently 24%, with respect to dividends on our common stock. Dividends paid to Non-U.S. Holders subject to the U.S. withholding tax, as described above under the section titled “-Distributions on Our Common Stock,” generally will be exempt from U.S. backup withholding. </w:t>
      </w:r>
    </w:p>
    <w:p>
      <w:pPr>
        <w:pStyle w:val="TextBody"/>
        <w:bidi w:val="0"/>
        <w:spacing w:lineRule="auto" w:line="288" w:before="0" w:after="240"/>
        <w:jc w:val="left"/>
        <w:rPr>
          <w:rFonts w:ascii="Trade Gothic;sans-serif" w:hAnsi="Trade Gothic;sans-serif"/>
          <w:b w:val="false"/>
          <w:color w:val="000000"/>
          <w:sz w:val="20"/>
        </w:rPr>
      </w:pPr>
      <w:r>
        <w:rPr>
          <w:rFonts w:ascii="Trade Gothic;sans-serif" w:hAnsi="Trade Gothic;sans-serif"/>
          <w:b w:val="false"/>
          <w:color w:val="000000"/>
          <w:sz w:val="20"/>
        </w:rPr>
        <w:t xml:space="preserve">Information reporting and backup withholding will generally apply to the proceeds of a disposition of our common stock by a Non-U.S. Holder effected by or through the U.S. office of any broker, U.S. or foreign, unless the holder certifies its status as a Non-U.S. Holder and satisfies certain other requirements, or otherwise establishes an exemption. Generally, information reporting and backup withholding will not apply to a payment of disposition proceeds to a Non-U.S. Holder where the transaction is effected outside the United States through a non-U.S. office of a broker. However, for information reporting purposes, dispositions effected through a non-U.S. office of a broker with substantial U.S. ownership or operations generally will be treated in a manner similar to dispositions effected through a U.S. office of a broker. Prospective investors should consult their own tax advisors regarding the application of the information reporting and backup withholding rules to them, including the availability of and procedure for obtaining an exemption from backup withholding. </w:t>
      </w:r>
    </w:p>
    <w:p>
      <w:pPr>
        <w:pStyle w:val="TextBody"/>
        <w:bidi w:val="0"/>
        <w:spacing w:lineRule="auto" w:line="288" w:before="0" w:after="240"/>
        <w:jc w:val="left"/>
        <w:rPr>
          <w:rFonts w:ascii="Trade Gothic;sans-serif" w:hAnsi="Trade Gothic;sans-serif"/>
          <w:b w:val="false"/>
          <w:color w:val="000000"/>
          <w:sz w:val="20"/>
        </w:rPr>
      </w:pPr>
      <w:r>
        <w:rPr>
          <w:rFonts w:ascii="Trade Gothic;sans-serif" w:hAnsi="Trade Gothic;sans-serif"/>
          <w:b w:val="false"/>
          <w:color w:val="000000"/>
          <w:sz w:val="20"/>
        </w:rPr>
        <w:t xml:space="preserve">Copies of information returns may be made available to the tax authorities of the country in which the Non-U.S. Holder resides or in which the Non-U.S. Holder is incorporated, under the provisions of a specific treaty or agreement. </w:t>
      </w:r>
    </w:p>
    <w:p>
      <w:pPr>
        <w:pStyle w:val="TextBody"/>
        <w:bidi w:val="0"/>
        <w:spacing w:lineRule="auto" w:line="288" w:before="0" w:after="240"/>
        <w:jc w:val="left"/>
        <w:rPr>
          <w:rFonts w:ascii="Trade Gothic;sans-serif" w:hAnsi="Trade Gothic;sans-serif"/>
          <w:b w:val="false"/>
          <w:color w:val="000000"/>
          <w:sz w:val="20"/>
        </w:rPr>
      </w:pPr>
      <w:r>
        <w:rPr>
          <w:rFonts w:ascii="Trade Gothic;sans-serif" w:hAnsi="Trade Gothic;sans-serif"/>
          <w:b w:val="false"/>
          <w:color w:val="000000"/>
          <w:sz w:val="20"/>
        </w:rPr>
        <w:t>Backup withholding is not an additional tax. Any amounts withheld under the backup withholding rules from a payment to a Non-U.S. Holder can be refunded or credited against the Non-U.S. Holder’s U.S. federal income tax liability, if any, provided that an appropriate claim is timely filed with the IRS.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right"/>
        <w:rPr/>
      </w:pPr>
      <w:r>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480175" cy="140335"/>
                <wp:effectExtent l="0" t="0" r="0" b="0"/>
                <wp:wrapNone/>
                <wp:docPr id="29" name="Frame28"/>
                <a:graphic xmlns:a="http://schemas.openxmlformats.org/drawingml/2006/main">
                  <a:graphicData uri="http://schemas.microsoft.com/office/word/2010/wordprocessingShape">
                    <wps:wsp>
                      <wps:cNvSpPr txBox="1"/>
                      <wps:spPr>
                        <a:xfrm>
                          <a:off x="0" y="0"/>
                          <a:ext cx="6480175" cy="140335"/>
                        </a:xfrm>
                        <a:prstGeom prst="rect"/>
                        <a:solidFill>
                          <a:srgbClr val="FFFFFF"/>
                        </a:solidFill>
                      </wps:spPr>
                      <wps:txbx>
                        <w:txbxContent>
                          <w:p>
                            <w:pPr>
                              <w:pStyle w:val="TextBody"/>
                              <w:bidi w:val="0"/>
                              <w:spacing w:lineRule="auto" w:line="288" w:before="0" w:after="180"/>
                              <w:jc w:val="center"/>
                              <w:rPr>
                                <w:rFonts w:ascii="Trade Gothic;sans-serif" w:hAnsi="Trade Gothic;sans-serif"/>
                                <w:b w:val="false"/>
                                <w:color w:val="000000"/>
                                <w:sz w:val="19"/>
                              </w:rPr>
                            </w:pPr>
                            <w:r>
                              <w:rPr>
                                <w:rFonts w:ascii="Trade Gothic;sans-serif" w:hAnsi="Trade Gothic;sans-serif"/>
                                <w:b w:val="false"/>
                                <w:color w:val="000000"/>
                                <w:sz w:val="19"/>
                              </w:rPr>
                              <w:t>25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0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180"/>
                        <w:jc w:val="center"/>
                        <w:rPr>
                          <w:rFonts w:ascii="Trade Gothic;sans-serif" w:hAnsi="Trade Gothic;sans-serif"/>
                          <w:b w:val="false"/>
                          <w:color w:val="000000"/>
                          <w:sz w:val="19"/>
                        </w:rPr>
                      </w:pPr>
                      <w:r>
                        <w:rPr>
                          <w:rFonts w:ascii="Trade Gothic;sans-serif" w:hAnsi="Trade Gothic;sans-serif"/>
                          <w:b w:val="false"/>
                          <w:color w:val="000000"/>
                          <w:sz w:val="19"/>
                        </w:rPr>
                        <w:t>25</w:t>
                      </w:r>
                    </w:p>
                  </w:txbxContent>
                </v:textbox>
                <w10:wrap type="none"/>
              </v:rect>
            </w:pict>
          </mc:Fallback>
        </mc:AlternateContent>
      </w:r>
    </w:p>
    <w:p>
      <w:pPr>
        <w:pStyle w:val="TextBody"/>
        <w:bidi w:val="0"/>
        <w:spacing w:lineRule="auto" w:line="288" w:before="0" w:after="360"/>
        <w:jc w:val="center"/>
        <w:rPr>
          <w:rFonts w:ascii="Trade Gothic;sans-serif" w:hAnsi="Trade Gothic;sans-serif"/>
          <w:b/>
          <w:color w:val="000000"/>
          <w:sz w:val="20"/>
        </w:rPr>
      </w:pPr>
      <w:r>
        <w:rPr>
          <w:rFonts w:ascii="Trade Gothic;sans-serif" w:hAnsi="Trade Gothic;sans-serif"/>
          <w:b/>
          <w:color w:val="000000"/>
          <w:sz w:val="20"/>
        </w:rPr>
        <w:t>PLAN OF DISTRIBUTION</w:t>
      </w:r>
    </w:p>
    <w:p>
      <w:pPr>
        <w:pStyle w:val="TextBody"/>
        <w:bidi w:val="0"/>
        <w:spacing w:lineRule="auto" w:line="288" w:before="0" w:after="240"/>
        <w:jc w:val="left"/>
        <w:rPr>
          <w:rFonts w:ascii="Trade Gothic;sans-serif" w:hAnsi="Trade Gothic;sans-serif"/>
          <w:b w:val="false"/>
          <w:color w:val="000000"/>
          <w:sz w:val="20"/>
        </w:rPr>
      </w:pPr>
      <w:r>
        <w:rPr>
          <w:rFonts w:ascii="Trade Gothic;sans-serif" w:hAnsi="Trade Gothic;sans-serif"/>
          <w:b w:val="false"/>
          <w:color w:val="000000"/>
          <w:sz w:val="20"/>
        </w:rPr>
        <w:t xml:space="preserve">The selling stockholders, which as used herein includes donees, pledgees, transferees or other successors-in-interest selling shares of our common stock or interests in shares of our common stock received after the date of this prospectus from a selling stockholder as a gift, pledge, partnership distribution or other transfer, may, from time to time, sell, transfer or otherwise dispose of any or all of their shares of common stock or interests in shares of our common stock on any stock exchange, market or trading facility on which the shares are traded or in private transactions. These dispositions may be at fixed prices, at prevailing market prices at the time of sale, at prices related to the prevailing market price, at varying prices determined at the time of sale, or at negotiated prices. </w:t>
      </w:r>
    </w:p>
    <w:p>
      <w:pPr>
        <w:pStyle w:val="TextBody"/>
        <w:bidi w:val="0"/>
        <w:spacing w:lineRule="auto" w:line="288" w:before="0" w:after="240"/>
        <w:jc w:val="left"/>
        <w:rPr>
          <w:rFonts w:ascii="Trade Gothic;sans-serif" w:hAnsi="Trade Gothic;sans-serif"/>
          <w:b w:val="false"/>
          <w:color w:val="000000"/>
          <w:sz w:val="20"/>
        </w:rPr>
      </w:pPr>
      <w:r>
        <w:rPr>
          <w:rFonts w:ascii="Trade Gothic;sans-serif" w:hAnsi="Trade Gothic;sans-serif"/>
          <w:b w:val="false"/>
          <w:color w:val="000000"/>
          <w:sz w:val="20"/>
        </w:rPr>
        <w:t>The selling stockholders may use any one or more of the following methods when disposing of shares of our common stock or interests therein:</w:t>
      </w:r>
    </w:p>
    <w:p>
      <w:pPr>
        <w:pStyle w:val="TextBody"/>
        <w:bidi w:val="0"/>
        <w:spacing w:lineRule="auto" w:line="288" w:before="0" w:after="40"/>
        <w:ind w:left="0" w:right="0" w:hanging="360"/>
        <w:jc w:val="left"/>
        <w:rPr/>
      </w:pPr>
      <w:r>
        <w:rPr>
          <w:color w:val="000000"/>
        </w:rPr>
        <w:t>■</w:t>
      </w:r>
      <w:r>
        <w:rPr>
          <w:rFonts w:ascii="Trade Gothic;sans-serif" w:hAnsi="Trade Gothic;sans-serif"/>
          <w:b w:val="false"/>
          <w:color w:val="000000"/>
          <w:sz w:val="20"/>
        </w:rPr>
        <w:t>distributions to members, partners, stockholders or other equityholders of the selling stockholders;</w:t>
      </w:r>
    </w:p>
    <w:p>
      <w:pPr>
        <w:pStyle w:val="TextBody"/>
        <w:bidi w:val="0"/>
        <w:spacing w:lineRule="auto" w:line="288" w:before="0" w:after="40"/>
        <w:ind w:left="0" w:right="0" w:hanging="360"/>
        <w:jc w:val="left"/>
        <w:rPr/>
      </w:pPr>
      <w:r>
        <w:rPr>
          <w:color w:val="000000"/>
        </w:rPr>
        <w:t>■</w:t>
      </w:r>
      <w:r>
        <w:rPr>
          <w:rFonts w:ascii="Trade Gothic;sans-serif" w:hAnsi="Trade Gothic;sans-serif"/>
          <w:b w:val="false"/>
          <w:color w:val="000000"/>
          <w:sz w:val="20"/>
        </w:rPr>
        <w:t>ordinary brokerage transactions and transactions in which the broker-dealer solicits purchasers;</w:t>
      </w:r>
    </w:p>
    <w:p>
      <w:pPr>
        <w:pStyle w:val="TextBody"/>
        <w:bidi w:val="0"/>
        <w:spacing w:lineRule="auto" w:line="288" w:before="0" w:after="40"/>
        <w:ind w:left="0" w:right="0" w:hanging="360"/>
        <w:jc w:val="left"/>
        <w:rPr/>
      </w:pPr>
      <w:r>
        <w:rPr>
          <w:color w:val="000000"/>
        </w:rPr>
        <w:t>■</w:t>
      </w:r>
      <w:r>
        <w:rPr>
          <w:rFonts w:ascii="Trade Gothic;sans-serif" w:hAnsi="Trade Gothic;sans-serif"/>
          <w:b w:val="false"/>
          <w:color w:val="000000"/>
          <w:sz w:val="20"/>
        </w:rPr>
        <w:t>block trades in which the broker-dealer will attempt to sell the shares as agent, but may position and resell a portion of the block as principal to facilitate the transaction;</w:t>
      </w:r>
    </w:p>
    <w:p>
      <w:pPr>
        <w:pStyle w:val="TextBody"/>
        <w:bidi w:val="0"/>
        <w:spacing w:lineRule="auto" w:line="288" w:before="0" w:after="40"/>
        <w:ind w:left="0" w:right="0" w:hanging="360"/>
        <w:jc w:val="left"/>
        <w:rPr/>
      </w:pPr>
      <w:r>
        <w:rPr>
          <w:color w:val="000000"/>
        </w:rPr>
        <w:t>■</w:t>
      </w:r>
      <w:r>
        <w:rPr>
          <w:rFonts w:ascii="Trade Gothic;sans-serif" w:hAnsi="Trade Gothic;sans-serif"/>
          <w:b w:val="false"/>
          <w:color w:val="000000"/>
          <w:sz w:val="20"/>
        </w:rPr>
        <w:t>purchases by a broker-dealer as principal and resale by the broker-dealer for its account;</w:t>
      </w:r>
    </w:p>
    <w:p>
      <w:pPr>
        <w:pStyle w:val="TextBody"/>
        <w:bidi w:val="0"/>
        <w:spacing w:lineRule="auto" w:line="288" w:before="0" w:after="40"/>
        <w:ind w:left="0" w:right="0" w:hanging="360"/>
        <w:jc w:val="left"/>
        <w:rPr/>
      </w:pPr>
      <w:r>
        <w:rPr>
          <w:color w:val="000000"/>
        </w:rPr>
        <w:t>■</w:t>
      </w:r>
      <w:r>
        <w:rPr>
          <w:rFonts w:ascii="Trade Gothic;sans-serif" w:hAnsi="Trade Gothic;sans-serif"/>
          <w:b w:val="false"/>
          <w:color w:val="000000"/>
          <w:sz w:val="20"/>
        </w:rPr>
        <w:t>an exchange distribution in accordance with the rules of the applicable exchange;</w:t>
      </w:r>
    </w:p>
    <w:p>
      <w:pPr>
        <w:pStyle w:val="TextBody"/>
        <w:bidi w:val="0"/>
        <w:spacing w:lineRule="auto" w:line="288" w:before="0" w:after="40"/>
        <w:ind w:left="0" w:right="0" w:hanging="360"/>
        <w:jc w:val="left"/>
        <w:rPr/>
      </w:pPr>
      <w:r>
        <w:rPr>
          <w:color w:val="000000"/>
        </w:rPr>
        <w:t>■</w:t>
      </w:r>
      <w:r>
        <w:rPr>
          <w:rFonts w:ascii="Trade Gothic;sans-serif" w:hAnsi="Trade Gothic;sans-serif"/>
          <w:b w:val="false"/>
          <w:color w:val="000000"/>
          <w:sz w:val="20"/>
        </w:rPr>
        <w:t>privately negotiated transactions;</w:t>
      </w:r>
    </w:p>
    <w:p>
      <w:pPr>
        <w:pStyle w:val="TextBody"/>
        <w:bidi w:val="0"/>
        <w:spacing w:lineRule="auto" w:line="288" w:before="0" w:after="40"/>
        <w:ind w:left="0" w:right="0" w:hanging="360"/>
        <w:jc w:val="left"/>
        <w:rPr/>
      </w:pPr>
      <w:r>
        <w:rPr>
          <w:color w:val="000000"/>
        </w:rPr>
        <w:t>■</w:t>
      </w:r>
      <w:r>
        <w:rPr>
          <w:rFonts w:ascii="Trade Gothic;sans-serif" w:hAnsi="Trade Gothic;sans-serif"/>
          <w:b w:val="false"/>
          <w:color w:val="000000"/>
          <w:sz w:val="20"/>
        </w:rPr>
        <w:t>short sales and settlement of short sales entered into after the effective date of the registration statement of which this prospectus is a part;</w:t>
      </w:r>
    </w:p>
    <w:p>
      <w:pPr>
        <w:pStyle w:val="TextBody"/>
        <w:bidi w:val="0"/>
        <w:spacing w:lineRule="auto" w:line="288" w:before="0" w:after="40"/>
        <w:ind w:left="0" w:right="0" w:hanging="360"/>
        <w:jc w:val="left"/>
        <w:rPr/>
      </w:pPr>
      <w:r>
        <w:rPr>
          <w:color w:val="000000"/>
        </w:rPr>
        <w:t>■</w:t>
      </w:r>
      <w:r>
        <w:rPr>
          <w:rFonts w:ascii="Trade Gothic;sans-serif" w:hAnsi="Trade Gothic;sans-serif"/>
          <w:b w:val="false"/>
          <w:color w:val="000000"/>
          <w:sz w:val="20"/>
        </w:rPr>
        <w:t>through the writing or settlement of options or other hedging transactions, whether through an options exchange or otherwise;</w:t>
      </w:r>
    </w:p>
    <w:p>
      <w:pPr>
        <w:pStyle w:val="TextBody"/>
        <w:bidi w:val="0"/>
        <w:spacing w:lineRule="auto" w:line="288" w:before="0" w:after="40"/>
        <w:ind w:left="0" w:right="0" w:hanging="360"/>
        <w:jc w:val="left"/>
        <w:rPr/>
      </w:pPr>
      <w:r>
        <w:rPr>
          <w:color w:val="000000"/>
        </w:rPr>
        <w:t>■</w:t>
      </w:r>
      <w:r>
        <w:rPr>
          <w:rFonts w:ascii="Trade Gothic;sans-serif" w:hAnsi="Trade Gothic;sans-serif"/>
          <w:b w:val="false"/>
          <w:color w:val="000000"/>
          <w:sz w:val="20"/>
        </w:rPr>
        <w:t>broker-dealers may agree with the selling stockholders to sell a specified number of such shares at a stipulated price per share;</w:t>
      </w:r>
    </w:p>
    <w:p>
      <w:pPr>
        <w:pStyle w:val="TextBody"/>
        <w:bidi w:val="0"/>
        <w:spacing w:lineRule="auto" w:line="288" w:before="0" w:after="40"/>
        <w:ind w:left="0" w:right="0" w:hanging="360"/>
        <w:jc w:val="left"/>
        <w:rPr/>
      </w:pPr>
      <w:r>
        <w:rPr>
          <w:color w:val="000000"/>
        </w:rPr>
        <w:t>■</w:t>
      </w:r>
      <w:r>
        <w:rPr>
          <w:rFonts w:ascii="Trade Gothic;sans-serif" w:hAnsi="Trade Gothic;sans-serif"/>
          <w:b w:val="false"/>
          <w:color w:val="000000"/>
          <w:sz w:val="20"/>
        </w:rPr>
        <w:t>a combination of any such methods of sale; and</w:t>
      </w:r>
    </w:p>
    <w:p>
      <w:pPr>
        <w:pStyle w:val="TextBody"/>
        <w:bidi w:val="0"/>
        <w:spacing w:lineRule="auto" w:line="288" w:before="0" w:after="240"/>
        <w:ind w:left="0" w:right="0" w:hanging="360"/>
        <w:jc w:val="left"/>
        <w:rPr/>
      </w:pPr>
      <w:r>
        <w:rPr>
          <w:color w:val="000000"/>
        </w:rPr>
        <w:t>■</w:t>
      </w:r>
      <w:r>
        <w:rPr>
          <w:rFonts w:ascii="Trade Gothic;sans-serif" w:hAnsi="Trade Gothic;sans-serif"/>
          <w:b w:val="false"/>
          <w:color w:val="000000"/>
          <w:sz w:val="20"/>
        </w:rPr>
        <w:t>any other method permitted pursuant to applicable law.</w:t>
      </w:r>
    </w:p>
    <w:p>
      <w:pPr>
        <w:pStyle w:val="TextBody"/>
        <w:bidi w:val="0"/>
        <w:spacing w:lineRule="auto" w:line="288" w:before="0" w:after="240"/>
        <w:jc w:val="left"/>
        <w:rPr>
          <w:rFonts w:ascii="Trade Gothic;sans-serif" w:hAnsi="Trade Gothic;sans-serif"/>
          <w:b w:val="false"/>
          <w:color w:val="000000"/>
          <w:sz w:val="20"/>
        </w:rPr>
      </w:pPr>
      <w:r>
        <w:rPr>
          <w:rFonts w:ascii="Trade Gothic;sans-serif" w:hAnsi="Trade Gothic;sans-serif"/>
          <w:b w:val="false"/>
          <w:color w:val="000000"/>
          <w:sz w:val="20"/>
        </w:rPr>
        <w:t>The selling stockholders may, from time to time, pledge or grant a security interest in some or all of the shares of our common stock owned by them and, if they default in the performance of their secured obligations, the pledgees or secured parties may offer and sell the shares of our common stock, from time to time, under this prospectus, or under an amendment to this prospectus under Rule 424(b)(3) or other applicable provision of the Securities Act, amending the list of selling stockholders to include the pledgee, transferee or other successors in interest as selling stockholders under this prospectus. The selling stockholders also may transfer the shares of our common stock in other circumstances, in which case the transferees, pledgees or other successors in interest will be the selling stockholders for purposes of this prospectus. In connection with the sale of our shares of common stock or interests therein, the selling stockholders may enter into hedging transactions with broker-dealers or other financial institutions, which may in turn engage in short sales of the shares of our common stock in the course of hedging the positions they assume. The selling stockholders may also sell shares of our common stock short and deliver these securities to close out their short positions, or loan or pledge the shares of our common stock to broker-dealers that in turn may sell these securities. The selling stockholders may also enter into option or other transactions with broker-dealers or other financial institutions or the creation of one or more derivative securities which require the delivery to such broker-dealer or other financial institution of shares offered by this prospectus, which shares such broker-dealer or other financial institution may resell pursuant to this prospectus (as supplemented or amended to reflect such transaction).</w:t>
      </w:r>
    </w:p>
    <w:p>
      <w:pPr>
        <w:pStyle w:val="TextBody"/>
        <w:bidi w:val="0"/>
        <w:spacing w:lineRule="auto" w:line="288" w:before="0" w:after="240"/>
        <w:jc w:val="left"/>
        <w:rPr>
          <w:rFonts w:ascii="Trade Gothic;sans-serif" w:hAnsi="Trade Gothic;sans-serif"/>
          <w:b w:val="false"/>
          <w:color w:val="000000"/>
          <w:sz w:val="20"/>
        </w:rPr>
      </w:pPr>
      <w:r>
        <w:rPr>
          <w:rFonts w:ascii="Trade Gothic;sans-serif" w:hAnsi="Trade Gothic;sans-serif"/>
          <w:b w:val="false"/>
          <w:color w:val="000000"/>
          <w:sz w:val="20"/>
        </w:rPr>
        <w:t xml:space="preserve">The aggregate proceeds to the selling stockholders from the sale of the shares of our common stock offered by them will be the purchase price of the shares of our common stock less discounts or commissions, if any. Each of the selling stockholders reserves the right to accept and, together with their agents from time to time, to reject, in whole or in part, any proposed purchase of shares of our common stock to be made directly or through agents. We will not receive any of the proceeds from this offering. Upon any exercise of the Pre-Funded warrants by payment of cash, however, we will receive the exercise price of the Pre-Funded Warrants. </w:t>
      </w:r>
    </w:p>
    <w:p>
      <w:pPr>
        <w:pStyle w:val="TextBody"/>
        <w:bidi w:val="0"/>
        <w:spacing w:before="0" w:after="0"/>
        <w:jc w:val="right"/>
        <w:rPr/>
      </w:pPr>
      <w:r>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480175" cy="140335"/>
                <wp:effectExtent l="0" t="0" r="0" b="0"/>
                <wp:wrapNone/>
                <wp:docPr id="30" name="Frame29"/>
                <a:graphic xmlns:a="http://schemas.openxmlformats.org/drawingml/2006/main">
                  <a:graphicData uri="http://schemas.microsoft.com/office/word/2010/wordprocessingShape">
                    <wps:wsp>
                      <wps:cNvSpPr txBox="1"/>
                      <wps:spPr>
                        <a:xfrm>
                          <a:off x="0" y="0"/>
                          <a:ext cx="6480175" cy="140335"/>
                        </a:xfrm>
                        <a:prstGeom prst="rect"/>
                        <a:solidFill>
                          <a:srgbClr val="FFFFFF"/>
                        </a:solidFill>
                      </wps:spPr>
                      <wps:txbx>
                        <w:txbxContent>
                          <w:p>
                            <w:pPr>
                              <w:pStyle w:val="TextBody"/>
                              <w:bidi w:val="0"/>
                              <w:spacing w:lineRule="auto" w:line="288" w:before="0" w:after="180"/>
                              <w:jc w:val="center"/>
                              <w:rPr>
                                <w:rFonts w:ascii="Trade Gothic;sans-serif" w:hAnsi="Trade Gothic;sans-serif"/>
                                <w:b w:val="false"/>
                                <w:color w:val="000000"/>
                                <w:sz w:val="19"/>
                              </w:rPr>
                            </w:pPr>
                            <w:r>
                              <w:rPr>
                                <w:rFonts w:ascii="Trade Gothic;sans-serif" w:hAnsi="Trade Gothic;sans-serif"/>
                                <w:b w:val="false"/>
                                <w:color w:val="000000"/>
                                <w:sz w:val="19"/>
                              </w:rPr>
                              <w:t>26</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0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180"/>
                        <w:jc w:val="center"/>
                        <w:rPr>
                          <w:rFonts w:ascii="Trade Gothic;sans-serif" w:hAnsi="Trade Gothic;sans-serif"/>
                          <w:b w:val="false"/>
                          <w:color w:val="000000"/>
                          <w:sz w:val="19"/>
                        </w:rPr>
                      </w:pPr>
                      <w:r>
                        <w:rPr>
                          <w:rFonts w:ascii="Trade Gothic;sans-serif" w:hAnsi="Trade Gothic;sans-serif"/>
                          <w:b w:val="false"/>
                          <w:color w:val="000000"/>
                          <w:sz w:val="19"/>
                        </w:rPr>
                        <w:t>26</w:t>
                      </w:r>
                    </w:p>
                  </w:txbxContent>
                </v:textbox>
                <w10:wrap type="none"/>
              </v:rect>
            </w:pict>
          </mc:Fallback>
        </mc:AlternateContent>
      </w:r>
    </w:p>
    <w:p>
      <w:pPr>
        <w:pStyle w:val="TextBody"/>
        <w:bidi w:val="0"/>
        <w:spacing w:lineRule="auto" w:line="288" w:before="0" w:after="240"/>
        <w:jc w:val="left"/>
        <w:rPr>
          <w:rFonts w:ascii="Trade Gothic;sans-serif" w:hAnsi="Trade Gothic;sans-serif"/>
          <w:b w:val="false"/>
          <w:color w:val="000000"/>
          <w:sz w:val="20"/>
        </w:rPr>
      </w:pPr>
      <w:r>
        <w:rPr>
          <w:rFonts w:ascii="Trade Gothic;sans-serif" w:hAnsi="Trade Gothic;sans-serif"/>
          <w:b w:val="false"/>
          <w:color w:val="000000"/>
          <w:sz w:val="20"/>
        </w:rPr>
        <w:t xml:space="preserve">The selling stockholders also may resell all or a portion of the shares of our common stock owned by them in open market transactions in reliance upon Rule 144 under the Securities Act, provided that they meet the criteria and conform to the requirements of that rule, or another available exemption from the registration requirements under the Securities Act. </w:t>
      </w:r>
    </w:p>
    <w:p>
      <w:pPr>
        <w:pStyle w:val="TextBody"/>
        <w:bidi w:val="0"/>
        <w:spacing w:lineRule="auto" w:line="288" w:before="0" w:after="240"/>
        <w:jc w:val="left"/>
        <w:rPr>
          <w:rFonts w:ascii="Trade Gothic;sans-serif" w:hAnsi="Trade Gothic;sans-serif"/>
          <w:b w:val="false"/>
          <w:color w:val="000000"/>
          <w:sz w:val="20"/>
        </w:rPr>
      </w:pPr>
      <w:r>
        <w:rPr>
          <w:rFonts w:ascii="Trade Gothic;sans-serif" w:hAnsi="Trade Gothic;sans-serif"/>
          <w:b w:val="false"/>
          <w:color w:val="000000"/>
          <w:sz w:val="20"/>
        </w:rPr>
        <w:t xml:space="preserve">The selling stockholders and any underwriters, broker-dealers or agents that participate in the sale of shares of Common Stock or interests therein may be “underwriters” within the meaning of Section 2(a)(11) of the Securities Act (it being understood that the selling stockholders shall not be deemed to be underwriters solely as a result of their participation in this offering). Any discounts, commissions, concessions or profit they earn on any resale of the shares covered by this prospectus may be underwriting discounts and commissions under the Securities Act. Selling stockholders who are “underwriters” within the meaning of Section 2(a)(11) of the Securities Act will be subject to the prospectus delivery requirements of the Securities Act. </w:t>
      </w:r>
    </w:p>
    <w:p>
      <w:pPr>
        <w:pStyle w:val="TextBody"/>
        <w:bidi w:val="0"/>
        <w:spacing w:lineRule="auto" w:line="288" w:before="0" w:after="240"/>
        <w:jc w:val="left"/>
        <w:rPr>
          <w:rFonts w:ascii="Trade Gothic;sans-serif" w:hAnsi="Trade Gothic;sans-serif"/>
          <w:b w:val="false"/>
          <w:color w:val="000000"/>
          <w:sz w:val="20"/>
        </w:rPr>
      </w:pPr>
      <w:r>
        <w:rPr>
          <w:rFonts w:ascii="Trade Gothic;sans-serif" w:hAnsi="Trade Gothic;sans-serif"/>
          <w:b w:val="false"/>
          <w:color w:val="000000"/>
          <w:sz w:val="20"/>
        </w:rPr>
        <w:t xml:space="preserve">To the extent required, the shares of our common stock to be sold, the names of the selling stockholders, the respective purchase prices and public offering prices, the names of any agent, dealer or underwriter, and any applicable commissions or discounts with respect to a particular offer will be set forth in an accompanying prospectus supplement or, if appropriate, a post-effective amendment to the registration statement that includes this prospectus. </w:t>
      </w:r>
    </w:p>
    <w:p>
      <w:pPr>
        <w:pStyle w:val="TextBody"/>
        <w:bidi w:val="0"/>
        <w:spacing w:lineRule="auto" w:line="288" w:before="0" w:after="240"/>
        <w:jc w:val="left"/>
        <w:rPr>
          <w:rFonts w:ascii="Trade Gothic;sans-serif" w:hAnsi="Trade Gothic;sans-serif"/>
          <w:b w:val="false"/>
          <w:color w:val="000000"/>
          <w:sz w:val="20"/>
        </w:rPr>
      </w:pPr>
      <w:r>
        <w:rPr>
          <w:rFonts w:ascii="Trade Gothic;sans-serif" w:hAnsi="Trade Gothic;sans-serif"/>
          <w:b w:val="false"/>
          <w:color w:val="000000"/>
          <w:sz w:val="20"/>
        </w:rPr>
        <w:t xml:space="preserve">In order to comply with the securities laws of some states, if applicable, the shares of our common stock may be sold in these jurisdictions only through registered or licensed brokers or dealers. In addition, in some states the shares of our common stock may not be sold unless it has been registered or qualified for sale or an exemption from registration or qualification requirements is available and is complied with. </w:t>
      </w:r>
    </w:p>
    <w:p>
      <w:pPr>
        <w:pStyle w:val="TextBody"/>
        <w:bidi w:val="0"/>
        <w:spacing w:lineRule="auto" w:line="288" w:before="0" w:after="240"/>
        <w:jc w:val="left"/>
        <w:rPr>
          <w:rFonts w:ascii="Trade Gothic;sans-serif" w:hAnsi="Trade Gothic;sans-serif"/>
          <w:b w:val="false"/>
          <w:color w:val="000000"/>
          <w:sz w:val="20"/>
        </w:rPr>
      </w:pPr>
      <w:r>
        <w:rPr>
          <w:rFonts w:ascii="Trade Gothic;sans-serif" w:hAnsi="Trade Gothic;sans-serif"/>
          <w:b w:val="false"/>
          <w:color w:val="000000"/>
          <w:sz w:val="20"/>
        </w:rPr>
        <w:t xml:space="preserve">We have advised the selling stockholders that the anti-manipulation rules of Regulation M under the Securities Exchange Act of 1934, or the Exchange Act, may apply to sales of shares covered by this prospectus in the market and to the activities of the selling stockholders and their affiliates. In addition, to the extent applicable, we will make copies of this prospectus (as it may be supplemented or amended from time to time) available to the selling stockholders for the purpose of satisfying the prospectus delivery requirements of the Securities Act. The selling stockholders may indemnify any broker-dealer that participates in transactions involving the sale of the shares against certain liabilities, including liabilities arising under the Securities Act. </w:t>
      </w:r>
    </w:p>
    <w:p>
      <w:pPr>
        <w:pStyle w:val="TextBody"/>
        <w:bidi w:val="0"/>
        <w:spacing w:lineRule="auto" w:line="288" w:before="0" w:after="240"/>
        <w:jc w:val="left"/>
        <w:rPr>
          <w:rFonts w:ascii="Trade Gothic;sans-serif" w:hAnsi="Trade Gothic;sans-serif"/>
          <w:b w:val="false"/>
          <w:color w:val="000000"/>
          <w:sz w:val="20"/>
        </w:rPr>
      </w:pPr>
      <w:r>
        <w:rPr>
          <w:rFonts w:ascii="Trade Gothic;sans-serif" w:hAnsi="Trade Gothic;sans-serif"/>
          <w:b w:val="false"/>
          <w:color w:val="000000"/>
          <w:sz w:val="20"/>
        </w:rPr>
        <w:t>We have agreed to indemnify the selling stockholders against liabilities, including liabilities under the Securities Act and state securities laws, relating to the registration of the shares offered by this prospectus. We have agreed with the selling stockholders to use commercially reasonable efforts to cause the registration statement to become effective and keep such registration statement effective for a period of up to 120 days or, if earlier, until the distribution contemplated in the registration statement has been completed; provided, however, that such 120 day period shall be extended for a period of time equal to the period the selling stockholder refrains, at the request of an underwriter of common stock (or other securities) of the Company, from selling any securities included in such registration.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right"/>
        <w:rPr/>
      </w:pPr>
      <w:r>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480175" cy="140335"/>
                <wp:effectExtent l="0" t="0" r="0" b="0"/>
                <wp:wrapNone/>
                <wp:docPr id="31" name="Frame30"/>
                <a:graphic xmlns:a="http://schemas.openxmlformats.org/drawingml/2006/main">
                  <a:graphicData uri="http://schemas.microsoft.com/office/word/2010/wordprocessingShape">
                    <wps:wsp>
                      <wps:cNvSpPr txBox="1"/>
                      <wps:spPr>
                        <a:xfrm>
                          <a:off x="0" y="0"/>
                          <a:ext cx="6480175" cy="140335"/>
                        </a:xfrm>
                        <a:prstGeom prst="rect"/>
                        <a:solidFill>
                          <a:srgbClr val="FFFFFF"/>
                        </a:solidFill>
                      </wps:spPr>
                      <wps:txbx>
                        <w:txbxContent>
                          <w:p>
                            <w:pPr>
                              <w:pStyle w:val="TextBody"/>
                              <w:bidi w:val="0"/>
                              <w:spacing w:lineRule="auto" w:line="288" w:before="0" w:after="180"/>
                              <w:jc w:val="center"/>
                              <w:rPr>
                                <w:rFonts w:ascii="Trade Gothic;sans-serif" w:hAnsi="Trade Gothic;sans-serif"/>
                                <w:b w:val="false"/>
                                <w:color w:val="000000"/>
                                <w:sz w:val="19"/>
                              </w:rPr>
                            </w:pPr>
                            <w:r>
                              <w:rPr>
                                <w:rFonts w:ascii="Trade Gothic;sans-serif" w:hAnsi="Trade Gothic;sans-serif"/>
                                <w:b w:val="false"/>
                                <w:color w:val="000000"/>
                                <w:sz w:val="19"/>
                              </w:rPr>
                              <w:t>27</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0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180"/>
                        <w:jc w:val="center"/>
                        <w:rPr>
                          <w:rFonts w:ascii="Trade Gothic;sans-serif" w:hAnsi="Trade Gothic;sans-serif"/>
                          <w:b w:val="false"/>
                          <w:color w:val="000000"/>
                          <w:sz w:val="19"/>
                        </w:rPr>
                      </w:pPr>
                      <w:r>
                        <w:rPr>
                          <w:rFonts w:ascii="Trade Gothic;sans-serif" w:hAnsi="Trade Gothic;sans-serif"/>
                          <w:b w:val="false"/>
                          <w:color w:val="000000"/>
                          <w:sz w:val="19"/>
                        </w:rPr>
                        <w:t>27</w:t>
                      </w:r>
                    </w:p>
                  </w:txbxContent>
                </v:textbox>
                <w10:wrap type="none"/>
              </v:rect>
            </w:pict>
          </mc:Fallback>
        </mc:AlternateContent>
      </w:r>
    </w:p>
    <w:p>
      <w:pPr>
        <w:pStyle w:val="TextBody"/>
        <w:bidi w:val="0"/>
        <w:spacing w:lineRule="auto" w:line="288" w:before="0" w:after="360"/>
        <w:jc w:val="center"/>
        <w:rPr>
          <w:rFonts w:ascii="Trade Gothic;sans-serif" w:hAnsi="Trade Gothic;sans-serif"/>
          <w:b/>
          <w:color w:val="000000"/>
          <w:sz w:val="20"/>
        </w:rPr>
      </w:pPr>
      <w:r>
        <w:rPr>
          <w:rFonts w:ascii="Trade Gothic;sans-serif" w:hAnsi="Trade Gothic;sans-serif"/>
          <w:b/>
          <w:color w:val="000000"/>
          <w:sz w:val="20"/>
        </w:rPr>
        <w:t>LEGAL MATTERS</w:t>
      </w:r>
    </w:p>
    <w:p>
      <w:pPr>
        <w:pStyle w:val="TextBody"/>
        <w:bidi w:val="0"/>
        <w:spacing w:lineRule="auto" w:line="288" w:before="0" w:after="240"/>
        <w:jc w:val="left"/>
        <w:rPr>
          <w:rFonts w:ascii="Trade Gothic;sans-serif" w:hAnsi="Trade Gothic;sans-serif"/>
          <w:b w:val="false"/>
          <w:color w:val="000000"/>
          <w:sz w:val="20"/>
        </w:rPr>
      </w:pPr>
      <w:r>
        <w:rPr>
          <w:rFonts w:ascii="Trade Gothic;sans-serif" w:hAnsi="Trade Gothic;sans-serif"/>
          <w:b w:val="false"/>
          <w:color w:val="000000"/>
          <w:sz w:val="20"/>
        </w:rPr>
        <w:t>The validity of the shares of common stock offered by this prospectus will be passed upon for us by Ropes &amp; Gray LLP, Boston, Massachusetts.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360"/>
        <w:jc w:val="center"/>
        <w:rPr>
          <w:rFonts w:ascii="Trade Gothic;sans-serif" w:hAnsi="Trade Gothic;sans-serif"/>
          <w:b/>
          <w:color w:val="000000"/>
          <w:sz w:val="20"/>
        </w:rPr>
      </w:pPr>
      <w:r>
        <w:rPr>
          <w:rFonts w:ascii="Trade Gothic;sans-serif" w:hAnsi="Trade Gothic;sans-serif"/>
          <w:b/>
          <w:color w:val="000000"/>
          <w:sz w:val="20"/>
        </w:rPr>
        <w:t>EXPERTS</w:t>
      </w:r>
    </w:p>
    <w:p>
      <w:pPr>
        <w:pStyle w:val="TextBody"/>
        <w:bidi w:val="0"/>
        <w:spacing w:lineRule="auto" w:line="288" w:before="0" w:after="240"/>
        <w:jc w:val="left"/>
        <w:rPr>
          <w:rFonts w:ascii="Trade Gothic;sans-serif" w:hAnsi="Trade Gothic;sans-serif"/>
          <w:b w:val="false"/>
          <w:color w:val="000000"/>
          <w:sz w:val="20"/>
        </w:rPr>
      </w:pPr>
      <w:r>
        <w:rPr>
          <w:rFonts w:ascii="Trade Gothic;sans-serif" w:hAnsi="Trade Gothic;sans-serif"/>
          <w:b w:val="false"/>
          <w:color w:val="000000"/>
          <w:sz w:val="20"/>
        </w:rPr>
        <w:t>The financial statements of Veradermics, Incorporated as of December 31, 2025 and 2024, and for each of the two years in the period ended December 31, 2025, incorporated by reference in this Prospectus, have been audited by Deloitte &amp; Touche LLP, an independent registered public accounting firm, as stated in their report. Such financial statements are incorporated by reference in reliance upon the report of such firm given their authority as experts in accounting and auditing.</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360"/>
        <w:jc w:val="center"/>
        <w:rPr>
          <w:rFonts w:ascii="Trade Gothic;sans-serif" w:hAnsi="Trade Gothic;sans-serif"/>
          <w:b/>
          <w:color w:val="000000"/>
          <w:sz w:val="20"/>
        </w:rPr>
      </w:pPr>
      <w:r>
        <w:rPr>
          <w:rFonts w:ascii="Trade Gothic;sans-serif" w:hAnsi="Trade Gothic;sans-serif"/>
          <w:b/>
          <w:color w:val="000000"/>
          <w:sz w:val="20"/>
        </w:rPr>
        <w:t>WHERE YOU CAN FIND ADDITIONAL INFORMATION</w:t>
      </w:r>
    </w:p>
    <w:p>
      <w:pPr>
        <w:pStyle w:val="TextBody"/>
        <w:bidi w:val="0"/>
        <w:spacing w:lineRule="auto" w:line="288" w:before="0" w:after="240"/>
        <w:jc w:val="left"/>
        <w:rPr>
          <w:rFonts w:ascii="Trade Gothic;sans-serif" w:hAnsi="Trade Gothic;sans-serif"/>
          <w:b w:val="false"/>
          <w:color w:val="000000"/>
          <w:sz w:val="20"/>
        </w:rPr>
      </w:pPr>
      <w:r>
        <w:rPr>
          <w:rFonts w:ascii="Trade Gothic;sans-serif" w:hAnsi="Trade Gothic;sans-serif"/>
          <w:b w:val="false"/>
          <w:color w:val="000000"/>
          <w:sz w:val="20"/>
        </w:rPr>
        <w:t xml:space="preserve">We have filed with the SEC a registration statement on Form S-1 under the Securities Act with respect to the shares of common stock offered hereby. This prospectus, which constitutes a part of the registration statement, does not contain all of the information set forth in the registration statement or the exhibits and schedules filed therewith. For further information about us and the shares of common stock offered hereby, we refer you to the registration statement and the exhibits and schedules filed thereto. </w:t>
      </w:r>
    </w:p>
    <w:p>
      <w:pPr>
        <w:pStyle w:val="TextBody"/>
        <w:bidi w:val="0"/>
        <w:spacing w:lineRule="auto" w:line="288" w:before="0" w:after="240"/>
        <w:jc w:val="left"/>
        <w:rPr>
          <w:rFonts w:ascii="Trade Gothic;sans-serif" w:hAnsi="Trade Gothic;sans-serif"/>
          <w:b w:val="false"/>
          <w:color w:val="000000"/>
          <w:sz w:val="20"/>
        </w:rPr>
      </w:pPr>
      <w:r>
        <w:rPr>
          <w:rFonts w:ascii="Trade Gothic;sans-serif" w:hAnsi="Trade Gothic;sans-serif"/>
          <w:b w:val="false"/>
          <w:color w:val="000000"/>
          <w:sz w:val="20"/>
        </w:rPr>
        <w:t xml:space="preserve">Statements contained in this prospectus regarding the contents of any contract or any other document that is filed as an exhibit to the registration statement are not necessarily complete, and each such statement is qualified in all respects by reference to the full text of such contract or other document filed as an exhibit to the registration statement. The SEC also maintains an Internet website that contains reports, proxy statements and other information about registrants, like us, that file electronically with the SEC. The address of that site is www.sec.gov. </w:t>
      </w:r>
    </w:p>
    <w:p>
      <w:pPr>
        <w:pStyle w:val="TextBody"/>
        <w:bidi w:val="0"/>
        <w:spacing w:lineRule="auto" w:line="288" w:before="0" w:after="240"/>
        <w:jc w:val="left"/>
        <w:rPr>
          <w:rFonts w:ascii="Trade Gothic;sans-serif" w:hAnsi="Trade Gothic;sans-serif"/>
          <w:b w:val="false"/>
          <w:color w:val="000000"/>
          <w:sz w:val="20"/>
        </w:rPr>
      </w:pPr>
      <w:r>
        <w:rPr>
          <w:rFonts w:ascii="Trade Gothic;sans-serif" w:hAnsi="Trade Gothic;sans-serif"/>
          <w:b w:val="false"/>
          <w:color w:val="000000"/>
          <w:sz w:val="20"/>
        </w:rPr>
        <w:t>We are subject to the informational requirements of the Exchange Act and, in accordance with the Exchange Act, file reports, proxy and information statements and other information with the SEC. Such annual, quarterly and special reports, proxy and information statements and other information can be accessed at the SEC’s website referenced above. We also intend to make this information available on the investor relations section of our website, which is located at www.veradermics.com. Information contained on or accessible through our website is not a part of this prospectus, and the inclusion of our website address in this prospectus is an inactive textual reference only.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right"/>
        <w:rPr/>
      </w:pPr>
      <w:r>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6480175" cy="140335"/>
                <wp:effectExtent l="0" t="0" r="0" b="0"/>
                <wp:wrapNone/>
                <wp:docPr id="32" name="Frame31"/>
                <a:graphic xmlns:a="http://schemas.openxmlformats.org/drawingml/2006/main">
                  <a:graphicData uri="http://schemas.microsoft.com/office/word/2010/wordprocessingShape">
                    <wps:wsp>
                      <wps:cNvSpPr txBox="1"/>
                      <wps:spPr>
                        <a:xfrm>
                          <a:off x="0" y="0"/>
                          <a:ext cx="6480175" cy="140335"/>
                        </a:xfrm>
                        <a:prstGeom prst="rect"/>
                        <a:solidFill>
                          <a:srgbClr val="FFFFFF"/>
                        </a:solidFill>
                      </wps:spPr>
                      <wps:txbx>
                        <w:txbxContent>
                          <w:p>
                            <w:pPr>
                              <w:pStyle w:val="TextBody"/>
                              <w:bidi w:val="0"/>
                              <w:spacing w:lineRule="auto" w:line="288" w:before="0" w:after="180"/>
                              <w:jc w:val="center"/>
                              <w:rPr>
                                <w:rFonts w:ascii="Trade Gothic;sans-serif" w:hAnsi="Trade Gothic;sans-serif"/>
                                <w:b w:val="false"/>
                                <w:color w:val="000000"/>
                                <w:sz w:val="19"/>
                              </w:rPr>
                            </w:pPr>
                            <w:r>
                              <w:rPr>
                                <w:rFonts w:ascii="Trade Gothic;sans-serif" w:hAnsi="Trade Gothic;sans-serif"/>
                                <w:b w:val="false"/>
                                <w:color w:val="000000"/>
                                <w:sz w:val="19"/>
                              </w:rPr>
                              <w:t>28</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0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180"/>
                        <w:jc w:val="center"/>
                        <w:rPr>
                          <w:rFonts w:ascii="Trade Gothic;sans-serif" w:hAnsi="Trade Gothic;sans-serif"/>
                          <w:b w:val="false"/>
                          <w:color w:val="000000"/>
                          <w:sz w:val="19"/>
                        </w:rPr>
                      </w:pPr>
                      <w:r>
                        <w:rPr>
                          <w:rFonts w:ascii="Trade Gothic;sans-serif" w:hAnsi="Trade Gothic;sans-serif"/>
                          <w:b w:val="false"/>
                          <w:color w:val="000000"/>
                          <w:sz w:val="19"/>
                        </w:rPr>
                        <w:t>28</w:t>
                      </w:r>
                    </w:p>
                  </w:txbxContent>
                </v:textbox>
                <w10:wrap type="none"/>
              </v:rect>
            </w:pict>
          </mc:Fallback>
        </mc:AlternateContent>
      </w:r>
    </w:p>
    <w:p>
      <w:pPr>
        <w:pStyle w:val="TextBody"/>
        <w:bidi w:val="0"/>
        <w:spacing w:lineRule="auto" w:line="288" w:before="0" w:after="360"/>
        <w:jc w:val="center"/>
        <w:rPr>
          <w:rFonts w:ascii="Trade Gothic;sans-serif" w:hAnsi="Trade Gothic;sans-serif"/>
          <w:b/>
          <w:color w:val="000000"/>
          <w:sz w:val="20"/>
        </w:rPr>
      </w:pPr>
      <w:r>
        <w:rPr>
          <w:rFonts w:ascii="Trade Gothic;sans-serif" w:hAnsi="Trade Gothic;sans-serif"/>
          <w:b/>
          <w:color w:val="000000"/>
          <w:sz w:val="20"/>
        </w:rPr>
        <w:t>INCORPORATION OF CERTAIN INFORMATION BY REFERENCE</w:t>
      </w:r>
    </w:p>
    <w:p>
      <w:pPr>
        <w:pStyle w:val="TextBody"/>
        <w:bidi w:val="0"/>
        <w:spacing w:lineRule="auto" w:line="288" w:before="0" w:after="240"/>
        <w:jc w:val="left"/>
        <w:rPr>
          <w:rFonts w:ascii="Trade Gothic;sans-serif" w:hAnsi="Trade Gothic;sans-serif"/>
          <w:b w:val="false"/>
          <w:color w:val="000000"/>
          <w:sz w:val="20"/>
        </w:rPr>
      </w:pPr>
      <w:r>
        <w:rPr>
          <w:rFonts w:ascii="Trade Gothic;sans-serif" w:hAnsi="Trade Gothic;sans-serif"/>
          <w:b w:val="false"/>
          <w:color w:val="000000"/>
          <w:sz w:val="20"/>
        </w:rPr>
        <w:t>The SEC allows us to “incorporate by reference” information from other documents that we file with it, which means that we can disclose important information to you by referring you to those documents. The information incorporated by reference is considered to be part of this prospectus. Information in this prospectus supersedes information incorporated by reference that we filed with the SEC prior to the date of this prospectus.</w:t>
      </w:r>
    </w:p>
    <w:p>
      <w:pPr>
        <w:pStyle w:val="TextBody"/>
        <w:bidi w:val="0"/>
        <w:spacing w:lineRule="auto" w:line="288" w:before="0" w:after="240"/>
        <w:jc w:val="left"/>
        <w:rPr>
          <w:rFonts w:ascii="Trade Gothic;sans-serif" w:hAnsi="Trade Gothic;sans-serif"/>
          <w:b w:val="false"/>
          <w:color w:val="000000"/>
          <w:sz w:val="20"/>
        </w:rPr>
      </w:pPr>
      <w:r>
        <w:rPr>
          <w:rFonts w:ascii="Trade Gothic;sans-serif" w:hAnsi="Trade Gothic;sans-serif"/>
          <w:b w:val="false"/>
          <w:color w:val="000000"/>
          <w:sz w:val="20"/>
        </w:rPr>
        <w:t>We incorporate by reference in this prospectus and the registration statement of which this prospectus form a part the information or documents listed below that we have filed with the SEC:</w:t>
      </w:r>
    </w:p>
    <w:p>
      <w:pPr>
        <w:pStyle w:val="TextBody"/>
        <w:bidi w:val="0"/>
        <w:spacing w:lineRule="auto" w:line="288" w:before="0" w:after="40"/>
        <w:ind w:left="0" w:right="0" w:hanging="360"/>
        <w:jc w:val="left"/>
        <w:rPr/>
      </w:pPr>
      <w:r>
        <w:rPr>
          <w:color w:val="000000"/>
        </w:rPr>
        <w:t>■</w:t>
      </w:r>
      <w:r>
        <w:rPr>
          <w:rFonts w:ascii="Trade Gothic;sans-serif" w:hAnsi="Trade Gothic;sans-serif"/>
          <w:b w:val="false"/>
          <w:color w:val="000000"/>
          <w:sz w:val="20"/>
        </w:rPr>
        <w:t xml:space="preserve">our Annual Report, filed with the SEC on </w:t>
      </w:r>
      <w:hyperlink r:id="rId5">
        <w:r>
          <w:rPr>
            <w:rStyle w:val="InternetLink"/>
            <w:rFonts w:ascii="Trade Gothic;sans-serif" w:hAnsi="Trade Gothic;sans-serif"/>
            <w:b w:val="false"/>
            <w:color w:val="0000FF"/>
            <w:sz w:val="20"/>
            <w:u w:val="single"/>
          </w:rPr>
          <w:t>March 30, 2026</w:t>
        </w:r>
      </w:hyperlink>
      <w:r>
        <w:rPr>
          <w:rFonts w:ascii="Trade Gothic;sans-serif" w:hAnsi="Trade Gothic;sans-serif"/>
          <w:b w:val="false"/>
          <w:color w:val="000000"/>
          <w:sz w:val="20"/>
        </w:rPr>
        <w:t>;</w:t>
      </w:r>
    </w:p>
    <w:p>
      <w:pPr>
        <w:pStyle w:val="TextBody"/>
        <w:bidi w:val="0"/>
        <w:spacing w:lineRule="auto" w:line="288" w:before="0" w:after="40"/>
        <w:ind w:left="0" w:right="0" w:hanging="360"/>
        <w:jc w:val="left"/>
        <w:rPr/>
      </w:pPr>
      <w:r>
        <w:rPr>
          <w:color w:val="000000"/>
        </w:rPr>
        <w:t>■</w:t>
      </w:r>
      <w:r>
        <w:rPr>
          <w:rFonts w:ascii="Trade Gothic;sans-serif" w:hAnsi="Trade Gothic;sans-serif"/>
          <w:b w:val="false"/>
          <w:color w:val="000000"/>
          <w:sz w:val="20"/>
        </w:rPr>
        <w:t xml:space="preserve">our Quarterly Reports, filed with the SEC on </w:t>
      </w:r>
      <w:hyperlink r:id="rId6">
        <w:r>
          <w:rPr>
            <w:rStyle w:val="InternetLink"/>
            <w:rFonts w:ascii="Trade Gothic;sans-serif" w:hAnsi="Trade Gothic;sans-serif"/>
            <w:b w:val="false"/>
            <w:color w:val="0000FF"/>
            <w:sz w:val="20"/>
            <w:u w:val="single"/>
          </w:rPr>
          <w:t>May 12, 2026</w:t>
        </w:r>
      </w:hyperlink>
      <w:r>
        <w:rPr>
          <w:color w:val="000000"/>
        </w:rPr>
        <w:t xml:space="preserve"> </w:t>
      </w:r>
      <w:r>
        <w:rPr>
          <w:rFonts w:ascii="Trade Gothic;sans-serif" w:hAnsi="Trade Gothic;sans-serif"/>
          <w:b w:val="false"/>
          <w:color w:val="000000"/>
          <w:sz w:val="20"/>
        </w:rPr>
        <w:t xml:space="preserve">and </w:t>
      </w:r>
      <w:hyperlink r:id="rId7">
        <w:r>
          <w:rPr>
            <w:rStyle w:val="InternetLink"/>
            <w:rFonts w:ascii="Trade Gothic;sans-serif" w:hAnsi="Trade Gothic;sans-serif"/>
            <w:b w:val="false"/>
            <w:color w:val="0000FF"/>
            <w:sz w:val="20"/>
            <w:u w:val="single"/>
          </w:rPr>
          <w:t>August 11, 2026</w:t>
        </w:r>
      </w:hyperlink>
      <w:r>
        <w:rPr>
          <w:rFonts w:ascii="Trade Gothic;sans-serif" w:hAnsi="Trade Gothic;sans-serif"/>
          <w:b w:val="false"/>
          <w:color w:val="000000"/>
          <w:sz w:val="20"/>
        </w:rPr>
        <w:t>;</w:t>
      </w:r>
    </w:p>
    <w:p>
      <w:pPr>
        <w:pStyle w:val="TextBody"/>
        <w:bidi w:val="0"/>
        <w:spacing w:lineRule="auto" w:line="288" w:before="0" w:after="40"/>
        <w:ind w:left="0" w:right="0" w:hanging="360"/>
        <w:jc w:val="left"/>
        <w:rPr/>
      </w:pPr>
      <w:r>
        <w:rPr>
          <w:color w:val="000000"/>
        </w:rPr>
        <w:t>■</w:t>
      </w:r>
      <w:r>
        <w:rPr>
          <w:rFonts w:ascii="Trade Gothic;sans-serif" w:hAnsi="Trade Gothic;sans-serif"/>
          <w:b w:val="false"/>
          <w:color w:val="000000"/>
          <w:sz w:val="20"/>
        </w:rPr>
        <w:t xml:space="preserve">our Current Reports on Form 8-K filed with the SEC on </w:t>
      </w:r>
      <w:hyperlink r:id="rId8">
        <w:r>
          <w:rPr>
            <w:rStyle w:val="InternetLink"/>
            <w:rFonts w:ascii="Trade Gothic;sans-serif" w:hAnsi="Trade Gothic;sans-serif"/>
            <w:b w:val="false"/>
            <w:color w:val="0000FF"/>
            <w:sz w:val="20"/>
            <w:u w:val="single"/>
          </w:rPr>
          <w:t>February 5, 2026</w:t>
        </w:r>
      </w:hyperlink>
      <w:r>
        <w:rPr>
          <w:rFonts w:ascii="Trade Gothic;sans-serif" w:hAnsi="Trade Gothic;sans-serif"/>
          <w:b w:val="false"/>
          <w:color w:val="000000"/>
          <w:sz w:val="20"/>
        </w:rPr>
        <w:t xml:space="preserve">, </w:t>
      </w:r>
      <w:hyperlink r:id="rId9">
        <w:r>
          <w:rPr>
            <w:rStyle w:val="InternetLink"/>
            <w:rFonts w:ascii="Trade Gothic;sans-serif" w:hAnsi="Trade Gothic;sans-serif"/>
            <w:b w:val="false"/>
            <w:color w:val="0000FF"/>
            <w:sz w:val="20"/>
            <w:u w:val="single"/>
          </w:rPr>
          <w:t>April 27, 2026</w:t>
        </w:r>
      </w:hyperlink>
      <w:r>
        <w:rPr>
          <w:rFonts w:ascii="Trade Gothic;sans-serif" w:hAnsi="Trade Gothic;sans-serif"/>
          <w:b w:val="false"/>
          <w:color w:val="000000"/>
          <w:sz w:val="20"/>
        </w:rPr>
        <w:t xml:space="preserve">, </w:t>
      </w:r>
      <w:hyperlink r:id="rId10">
        <w:r>
          <w:rPr>
            <w:rStyle w:val="InternetLink"/>
            <w:rFonts w:ascii="Trade Gothic;sans-serif" w:hAnsi="Trade Gothic;sans-serif"/>
            <w:b w:val="false"/>
            <w:color w:val="0000FF"/>
            <w:sz w:val="20"/>
            <w:u w:val="single"/>
          </w:rPr>
          <w:t>May 1, 2026</w:t>
        </w:r>
      </w:hyperlink>
      <w:r>
        <w:rPr>
          <w:color w:val="000000"/>
        </w:rPr>
        <w:t xml:space="preserve"> </w:t>
      </w:r>
      <w:r>
        <w:rPr>
          <w:rFonts w:ascii="Trade Gothic;sans-serif" w:hAnsi="Trade Gothic;sans-serif"/>
          <w:b w:val="false"/>
          <w:color w:val="000000"/>
          <w:sz w:val="20"/>
        </w:rPr>
        <w:t xml:space="preserve">and </w:t>
      </w:r>
      <w:hyperlink r:id="rId11">
        <w:r>
          <w:rPr>
            <w:rStyle w:val="InternetLink"/>
            <w:rFonts w:ascii="Trade Gothic;sans-serif" w:hAnsi="Trade Gothic;sans-serif"/>
            <w:b w:val="false"/>
            <w:color w:val="0000FF"/>
            <w:sz w:val="20"/>
            <w:u w:val="single"/>
          </w:rPr>
          <w:t>July 15, 2026</w:t>
        </w:r>
      </w:hyperlink>
      <w:r>
        <w:rPr>
          <w:rFonts w:ascii="Trade Gothic;sans-serif" w:hAnsi="Trade Gothic;sans-serif"/>
          <w:b w:val="false"/>
          <w:color w:val="000000"/>
          <w:sz w:val="20"/>
        </w:rPr>
        <w:t>; and</w:t>
      </w:r>
    </w:p>
    <w:p>
      <w:pPr>
        <w:pStyle w:val="TextBody"/>
        <w:bidi w:val="0"/>
        <w:spacing w:lineRule="auto" w:line="288" w:before="0" w:after="240"/>
        <w:ind w:left="0" w:right="0" w:hanging="360"/>
        <w:jc w:val="left"/>
        <w:rPr/>
      </w:pPr>
      <w:r>
        <w:rPr>
          <w:color w:val="000000"/>
        </w:rPr>
        <w:t>■</w:t>
      </w:r>
      <w:r>
        <w:rPr>
          <w:rFonts w:ascii="Trade Gothic;sans-serif" w:hAnsi="Trade Gothic;sans-serif"/>
          <w:b w:val="false"/>
          <w:color w:val="000000"/>
          <w:sz w:val="20"/>
        </w:rPr>
        <w:t>the description of our common stock which is registered under Section 12 of the Exchange Act, in our registration statement on Form 8-A, filed with the SEC on </w:t>
      </w:r>
      <w:hyperlink r:id="rId12">
        <w:r>
          <w:rPr>
            <w:rStyle w:val="InternetLink"/>
            <w:rFonts w:ascii="Trade Gothic;sans-serif" w:hAnsi="Trade Gothic;sans-serif"/>
            <w:b w:val="false"/>
            <w:color w:val="0000FF"/>
            <w:sz w:val="20"/>
            <w:u w:val="single"/>
          </w:rPr>
          <w:t>February 3, 2026</w:t>
        </w:r>
      </w:hyperlink>
      <w:r>
        <w:rPr>
          <w:color w:val="000000"/>
        </w:rPr>
        <w:t xml:space="preserve"> </w:t>
      </w:r>
      <w:r>
        <w:rPr>
          <w:rFonts w:ascii="Trade Gothic;sans-serif" w:hAnsi="Trade Gothic;sans-serif"/>
          <w:b w:val="false"/>
          <w:color w:val="000000"/>
          <w:sz w:val="20"/>
        </w:rPr>
        <w:t>as updated by </w:t>
      </w:r>
      <w:hyperlink r:id="rId13">
        <w:r>
          <w:rPr>
            <w:rStyle w:val="InternetLink"/>
            <w:rFonts w:ascii="Trade Gothic;sans-serif" w:hAnsi="Trade Gothic;sans-serif"/>
            <w:b w:val="false"/>
            <w:color w:val="0000FF"/>
            <w:sz w:val="20"/>
            <w:u w:val="single"/>
          </w:rPr>
          <w:t>Exhibit 4.3</w:t>
        </w:r>
      </w:hyperlink>
      <w:r>
        <w:rPr>
          <w:color w:val="000000"/>
        </w:rPr>
        <w:t> </w:t>
      </w:r>
      <w:r>
        <w:rPr>
          <w:rFonts w:ascii="Trade Gothic;sans-serif" w:hAnsi="Trade Gothic;sans-serif"/>
          <w:b w:val="false"/>
          <w:color w:val="000000"/>
          <w:sz w:val="20"/>
        </w:rPr>
        <w:t>to our Annual Report, filed with the SEC on March 30, 2026, including any amendments or reports filed for the purpose of updating such description.</w:t>
      </w:r>
    </w:p>
    <w:p>
      <w:pPr>
        <w:pStyle w:val="TextBody"/>
        <w:bidi w:val="0"/>
        <w:spacing w:lineRule="auto" w:line="288" w:before="0" w:after="240"/>
        <w:jc w:val="left"/>
        <w:rPr>
          <w:rFonts w:ascii="Trade Gothic;sans-serif" w:hAnsi="Trade Gothic;sans-serif"/>
          <w:b w:val="false"/>
          <w:color w:val="000000"/>
          <w:sz w:val="20"/>
        </w:rPr>
      </w:pPr>
      <w:r>
        <w:rPr>
          <w:rFonts w:ascii="Trade Gothic;sans-serif" w:hAnsi="Trade Gothic;sans-serif"/>
          <w:b w:val="false"/>
          <w:color w:val="000000"/>
          <w:sz w:val="20"/>
        </w:rPr>
        <w:t>In addition, all documents (other than current reports furnished under Item 2.02 or Item 7.01 of Form 8-K and exhibits filed on such form that are related to such items) that are filed by us with the SEC pursuant to Sections 13(a), 13(c), 14 or 15(d) of the Exchange Act after the date of the initial registration statement of which this prospectus is a part and prior to the effectiveness of such registration statement and all documents subsequently filed by us pursuant to Sections 13(a), 13(c), 14 or 15(d) of the Exchange Act prior to the termination of the offering (excluding any information furnished rather than filed) shall be deemed to be incorporated by reference into this prospectus.</w:t>
      </w:r>
    </w:p>
    <w:p>
      <w:pPr>
        <w:pStyle w:val="TextBody"/>
        <w:bidi w:val="0"/>
        <w:spacing w:lineRule="auto" w:line="288" w:before="0" w:after="240"/>
        <w:jc w:val="left"/>
        <w:rPr>
          <w:rFonts w:ascii="Trade Gothic;sans-serif" w:hAnsi="Trade Gothic;sans-serif"/>
          <w:b w:val="false"/>
          <w:color w:val="000000"/>
          <w:sz w:val="20"/>
        </w:rPr>
      </w:pPr>
      <w:r>
        <w:rPr>
          <w:rFonts w:ascii="Trade Gothic;sans-serif" w:hAnsi="Trade Gothic;sans-serif"/>
          <w:b w:val="false"/>
          <w:color w:val="000000"/>
          <w:sz w:val="20"/>
        </w:rPr>
        <w:t>Notwithstanding the statements in the preceding paragraphs, no document, report or exhibit (or portion of any of the foregoing) or any other information that we have “furnished” to the SEC pursuant to the Exchange Act shall be incorporated by reference into this prospectus.</w:t>
      </w:r>
    </w:p>
    <w:p>
      <w:pPr>
        <w:pStyle w:val="TextBody"/>
        <w:bidi w:val="0"/>
        <w:spacing w:lineRule="auto" w:line="288" w:before="0" w:after="240"/>
        <w:jc w:val="left"/>
        <w:rPr>
          <w:rFonts w:ascii="Trade Gothic;sans-serif" w:hAnsi="Trade Gothic;sans-serif"/>
          <w:b w:val="false"/>
          <w:color w:val="000000"/>
          <w:sz w:val="20"/>
        </w:rPr>
      </w:pPr>
      <w:r>
        <w:rPr>
          <w:rFonts w:ascii="Trade Gothic;sans-serif" w:hAnsi="Trade Gothic;sans-serif"/>
          <w:b w:val="false"/>
          <w:color w:val="000000"/>
          <w:sz w:val="20"/>
        </w:rPr>
        <w:t>We will furnish at no cost to you, on written or oral request, a copy of any or all of the reports or documents incorporated by reference in this prospectus, including exhibits to these documents. You should direct any requests for documents to Veradermics, Incorporated, 470 James Street, New Haven, CT 06513, telephone (228) 372-3376. You also may access these filings on our website at www.veradermics.com. We do not incorporate the information on our website in this prospectus and you should not consider any information on, or that can be accessed through, our website as part of this prospectus (other than those filings with the SEC that we specifically incorporate by reference into this prospectus).</w:t>
      </w:r>
    </w:p>
    <w:p>
      <w:pPr>
        <w:pStyle w:val="TextBody"/>
        <w:bidi w:val="0"/>
        <w:spacing w:lineRule="auto" w:line="288" w:before="0" w:after="240"/>
        <w:jc w:val="left"/>
        <w:rPr>
          <w:rFonts w:ascii="Trade Gothic;sans-serif" w:hAnsi="Trade Gothic;sans-serif"/>
          <w:b w:val="false"/>
          <w:color w:val="000000"/>
          <w:sz w:val="20"/>
        </w:rPr>
      </w:pPr>
      <w:r>
        <w:rPr>
          <w:rFonts w:ascii="Trade Gothic;sans-serif" w:hAnsi="Trade Gothic;sans-serif"/>
          <w:b w:val="false"/>
          <w:color w:val="000000"/>
          <w:sz w:val="20"/>
        </w:rPr>
        <w:t>Any statement contained in a document incorporated or deemed to be incorporated by reference in this prospectus will be deemed modified, superseded or replaced for purposes of this prospectus to the extent that a statement contained in this prospectus modifies, supersedes or replaces such statement.</w:t>
      </w:r>
    </w:p>
    <w:p>
      <w:pPr>
        <w:pStyle w:val="TextBody"/>
        <w:bidi w:val="0"/>
        <w:spacing w:lineRule="auto" w:line="288" w:before="0" w:after="240"/>
        <w:jc w:val="left"/>
        <w:rPr>
          <w:rFonts w:ascii="Trade Gothic;sans-serif" w:hAnsi="Trade Gothic;sans-serif"/>
          <w:b w:val="false"/>
          <w:color w:val="000000"/>
          <w:sz w:val="20"/>
        </w:rPr>
      </w:pPr>
      <w:r>
        <w:rPr>
          <w:rFonts w:ascii="Trade Gothic;sans-serif" w:hAnsi="Trade Gothic;sans-serif"/>
          <w:b w:val="false"/>
          <w:color w:val="000000"/>
          <w:sz w:val="20"/>
        </w:rPr>
        <w:t>You may read our SEC filings, including the registration statement, over the internet at the SEC’s website at www.sec.gov. We are subject to the information and reporting requirements of the Exchange Act, and, in accordance with this law, we must file periodic reports, proxy statements and other information with the SEC. These reports, proxy statements and other information are available on the website of the SEC referred to above.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240"/>
        <w:jc w:val="left"/>
        <w:rPr/>
      </w:pPr>
      <w:r>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6480175" cy="140335"/>
                <wp:effectExtent l="0" t="0" r="0" b="0"/>
                <wp:wrapNone/>
                <wp:docPr id="33" name="Frame32"/>
                <a:graphic xmlns:a="http://schemas.openxmlformats.org/drawingml/2006/main">
                  <a:graphicData uri="http://schemas.microsoft.com/office/word/2010/wordprocessingShape">
                    <wps:wsp>
                      <wps:cNvSpPr txBox="1"/>
                      <wps:spPr>
                        <a:xfrm>
                          <a:off x="0" y="0"/>
                          <a:ext cx="6480175" cy="140335"/>
                        </a:xfrm>
                        <a:prstGeom prst="rect"/>
                        <a:solidFill>
                          <a:srgbClr val="FFFFFF"/>
                        </a:solidFill>
                      </wps:spPr>
                      <wps:txbx>
                        <w:txbxContent>
                          <w:p>
                            <w:pPr>
                              <w:pStyle w:val="TextBody"/>
                              <w:bidi w:val="0"/>
                              <w:spacing w:lineRule="auto" w:line="288" w:before="0" w:after="180"/>
                              <w:jc w:val="center"/>
                              <w:rPr>
                                <w:rFonts w:ascii="Trade Gothic;sans-serif" w:hAnsi="Trade Gothic;sans-serif"/>
                                <w:b w:val="false"/>
                                <w:color w:val="000000"/>
                                <w:sz w:val="19"/>
                              </w:rPr>
                            </w:pPr>
                            <w:r>
                              <w:rPr>
                                <w:rFonts w:ascii="Trade Gothic;sans-serif" w:hAnsi="Trade Gothic;sans-serif"/>
                                <w:b w:val="false"/>
                                <w:color w:val="000000"/>
                                <w:sz w:val="19"/>
                              </w:rPr>
                              <w:t>29</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rade Gothic;sans-serif" w:hAnsi="Trade Gothic;sans-serif"/>
                          <w:b w:val="false"/>
                          <w:color w:val="000000"/>
                          <w:sz w:val="19"/>
                        </w:rPr>
                      </w:pPr>
                      <w:r>
                        <w:rPr>
                          <w:rFonts w:ascii="Trade Gothic;sans-serif" w:hAnsi="Trade Gothic;sans-serif"/>
                          <w:b w:val="false"/>
                          <w:color w:val="000000"/>
                          <w:sz w:val="19"/>
                        </w:rPr>
                        <w:t>29</w:t>
                      </w:r>
                    </w:p>
                  </w:txbxContent>
                </v:textbox>
                <w10:wrap type="none"/>
              </v:rect>
            </w:pict>
          </mc:Fallback>
        </mc:AlternateConten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180"/>
        <w:jc w:val="center"/>
        <w:rPr/>
      </w:pPr>
      <w:r>
        <w:rPr/>
        <w:drawing>
          <wp:inline distT="0" distB="0" distL="0" distR="0">
            <wp:extent cx="2743200" cy="838200"/>
            <wp:effectExtent l="0" t="0" r="0" b="0"/>
            <wp:docPr id="34"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 name="Image2" descr=""/>
                    <pic:cNvPicPr>
                      <a:picLocks noChangeAspect="1" noChangeArrowheads="1"/>
                    </pic:cNvPicPr>
                  </pic:nvPicPr>
                  <pic:blipFill>
                    <a:blip r:embed="rId14"/>
                    <a:stretch>
                      <a:fillRect/>
                    </a:stretch>
                  </pic:blipFill>
                  <pic:spPr bwMode="auto">
                    <a:xfrm>
                      <a:off x="0" y="0"/>
                      <a:ext cx="2743200" cy="838200"/>
                    </a:xfrm>
                    <a:prstGeom prst="rect">
                      <a:avLst/>
                    </a:prstGeom>
                  </pic:spPr>
                </pic:pic>
              </a:graphicData>
            </a:graphic>
          </wp:inline>
        </w:drawing>
      </w:r>
    </w:p>
    <w:p>
      <w:pPr>
        <w:pStyle w:val="TextBody"/>
        <w:bidi w:val="0"/>
        <w:spacing w:lineRule="auto" w:line="288" w:before="0" w:after="1000"/>
        <w:jc w:val="center"/>
        <w:rPr>
          <w:rFonts w:ascii="Trade Gothic;sans-serif" w:hAnsi="Trade Gothic;sans-serif"/>
          <w:b/>
          <w:color w:val="000000"/>
          <w:sz w:val="36"/>
        </w:rPr>
      </w:pPr>
      <w:r>
        <w:rPr>
          <w:rFonts w:ascii="Trade Gothic;sans-serif" w:hAnsi="Trade Gothic;sans-serif"/>
          <w:b/>
          <w:color w:val="000000"/>
          <w:sz w:val="36"/>
        </w:rPr>
        <w:t>Veradermics, Incorporated</w:t>
      </w:r>
    </w:p>
    <w:p>
      <w:pPr>
        <w:pStyle w:val="TextBody"/>
        <w:bidi w:val="0"/>
        <w:spacing w:lineRule="auto" w:line="288" w:before="0" w:after="0"/>
        <w:jc w:val="center"/>
        <w:rPr>
          <w:rFonts w:ascii="Trade Gothic;sans-serif" w:hAnsi="Trade Gothic;sans-serif"/>
          <w:b/>
          <w:color w:val="000000"/>
          <w:sz w:val="28"/>
        </w:rPr>
      </w:pPr>
      <w:r>
        <w:rPr>
          <w:rFonts w:ascii="Trade Gothic;sans-serif" w:hAnsi="Trade Gothic;sans-serif"/>
          <w:b/>
          <w:color w:val="000000"/>
          <w:sz w:val="28"/>
        </w:rPr>
        <w:t>Up to 16,772,058 Shares of Common Stock</w:t>
      </w:r>
    </w:p>
    <w:p>
      <w:pPr>
        <w:pStyle w:val="TextBody"/>
        <w:bidi w:val="0"/>
        <w:spacing w:lineRule="auto" w:line="288" w:before="0" w:after="2000"/>
        <w:jc w:val="center"/>
        <w:rPr>
          <w:rFonts w:ascii="Trade Gothic;sans-serif" w:hAnsi="Trade Gothic;sans-serif"/>
          <w:b/>
          <w:color w:val="000000"/>
          <w:sz w:val="28"/>
        </w:rPr>
      </w:pPr>
      <w:r>
        <w:rPr>
          <w:rFonts w:ascii="Trade Gothic;sans-serif" w:hAnsi="Trade Gothic;sans-serif"/>
          <w:b/>
          <w:color w:val="000000"/>
          <w:sz w:val="28"/>
        </w:rPr>
        <w:t>Up to 300,000 Shares of Common Stock Underlying Pre-Funded Warrants</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jc w:val="center"/>
        <w:rPr>
          <w:rFonts w:ascii="Trade Gothic;sans-serif" w:hAnsi="Trade Gothic;sans-serif"/>
          <w:b/>
          <w:color w:val="000000"/>
          <w:sz w:val="20"/>
        </w:rPr>
      </w:pPr>
      <w:r>
        <w:rPr>
          <w:rFonts w:ascii="Trade Gothic;sans-serif" w:hAnsi="Trade Gothic;sans-serif"/>
          <w:b/>
          <w:color w:val="000000"/>
          <w:sz w:val="20"/>
        </w:rPr>
        <w:t>PROSPECTUS</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3000"/>
        <w:jc w:val="center"/>
        <w:rPr>
          <w:rFonts w:ascii="Trade Gothic;sans-serif" w:hAnsi="Trade Gothic;sans-serif"/>
          <w:b w:val="false"/>
          <w:color w:val="000000"/>
          <w:sz w:val="20"/>
        </w:rPr>
      </w:pPr>
      <w:r>
        <w:rPr>
          <w:rFonts w:ascii="Trade Gothic;sans-serif" w:hAnsi="Trade Gothic;sans-serif"/>
          <w:b w:val="false"/>
          <w:color w:val="000000"/>
          <w:sz w:val="20"/>
        </w:rPr>
        <w:t>August 14, 2026</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6480175" cy="175260"/>
                <wp:effectExtent l="0" t="0" r="0" b="0"/>
                <wp:wrapNone/>
                <wp:docPr id="35" name="Frame3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4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4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rade Gothic">
    <w:altName w:val="sans-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hyperlink" Target="https://www.sec.gov/ix?doc=/Archives/edgar/data/1827635/000182763526000019/mane-20260331.htm" TargetMode="External"/><Relationship Id="rId4" Type="http://schemas.openxmlformats.org/officeDocument/2006/relationships/hyperlink" Target="https://www.sec.gov/ix?doc=/Archives/edgar/data/1827635/000182763526000019/mane-20260331.htm" TargetMode="External"/><Relationship Id="rId5" Type="http://schemas.openxmlformats.org/officeDocument/2006/relationships/hyperlink" Target="https://www.sec.gov/ix?doc=/Archives/edgar/data/0001827635/000182763526000013/mane-20251231.htm" TargetMode="External"/><Relationship Id="rId6" Type="http://schemas.openxmlformats.org/officeDocument/2006/relationships/hyperlink" Target="https://www.sec.gov/ix?doc=/Archives/edgar/data/1827635/000182763526000019/mane-20260331.htm" TargetMode="External"/><Relationship Id="rId7" Type="http://schemas.openxmlformats.org/officeDocument/2006/relationships/hyperlink" Target="https://www.sec.gov/ix?doc=/Archives/edgar/data/1827635/000182763526000030/mane-20260630.htm" TargetMode="External"/><Relationship Id="rId8" Type="http://schemas.openxmlformats.org/officeDocument/2006/relationships/hyperlink" Target="https://www.sec.gov/Archives/edgar/data/1827635/000162828026005800/veradermicsincclosing8-k.htm" TargetMode="External"/><Relationship Id="rId9" Type="http://schemas.openxmlformats.org/officeDocument/2006/relationships/hyperlink" Target="https://www.sec.gov/ix?doc=/Archives/edgar/data/1827635/000162828026027354/mane-20260427.htm" TargetMode="External"/><Relationship Id="rId10" Type="http://schemas.openxmlformats.org/officeDocument/2006/relationships/hyperlink" Target="https://www.sec.gov/ix?doc=/Archives/edgar/data/1827635/000162828026029376/mane-20260501.htm" TargetMode="External"/><Relationship Id="rId11" Type="http://schemas.openxmlformats.org/officeDocument/2006/relationships/hyperlink" Target="https://www.sec.gov/ix?doc=/Archives/edgar/data/1827635/000182763526000023/mane-20260715.htm" TargetMode="External"/><Relationship Id="rId12" Type="http://schemas.openxmlformats.org/officeDocument/2006/relationships/hyperlink" Target="https://www.sec.gov/Archives/edgar/data/1827635/000162828026005106/veradermicsincform8-a12b.htm" TargetMode="External"/><Relationship Id="rId13" Type="http://schemas.openxmlformats.org/officeDocument/2006/relationships/hyperlink" Target="https://www.sec.gov/Archives/edgar/data/1827635/000182763526000013/veradermics-10xkq42025ex43.htm" TargetMode="External"/><Relationship Id="rId14" Type="http://schemas.openxmlformats.org/officeDocument/2006/relationships/image" Target="media/image1.jpeg"/><Relationship Id="rId15" Type="http://schemas.openxmlformats.org/officeDocument/2006/relationships/fontTable" Target="fontTable.xml"/><Relationship Id="rId1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33</Pages>
  <Words>17325</Words>
  <Characters>93789</Characters>
  <CharactersWithSpaces>110846</CharactersWithSpaces>
  <Paragraphs>517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